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5397"/>
        <w:rPr>
          <w:rFonts w:ascii="Times New Roman"/>
          <w:sz w:val="20"/>
        </w:rPr>
      </w:pPr>
      <w:r>
        <w:rPr>
          <w:rFonts w:ascii="Times New Roman"/>
          <w:sz w:val="20"/>
        </w:rPr>
        <w:pict>
          <v:group style="width:192.5pt;height:95.95pt;mso-position-horizontal-relative:char;mso-position-vertical-relative:line" coordorigin="0,0" coordsize="3850,1919">
            <v:shape style="position:absolute;left:0;top:0;width:3850;height:1919" coordorigin="0,0" coordsize="3850,1919" path="m12,1906l5,1906,1,1908,1,1916,5,1919,12,1919,16,1916,16,1908,12,1906xm11,1891l4,1891,0,1894,0,1902,4,1906,11,1906,14,1902,14,1894,11,1891xm11,1862l4,1862,0,1866,0,1873,4,1877,11,1877,14,1873,14,1866,11,1862xm11,1835l4,1835,0,1837,0,1846,4,1848,11,1848,14,1846,14,1837,11,1835xm11,1806l4,1806,0,1810,0,1817,4,1820,11,1820,14,1817,14,1810,11,1806xm11,1778l4,1778,0,1781,0,1789,4,1792,11,1792,14,1789,14,1781,11,1778xm11,1750l4,1750,0,1753,0,1760,4,1764,11,1764,14,1760,14,1753,11,1750xm11,1722l4,1722,0,1724,0,1733,4,1735,11,1735,14,1733,14,1724,11,1722xm11,1693l4,1693,0,1697,0,1704,4,1708,11,1708,14,1704,14,1697,11,1693xm11,1664l4,1664,0,1668,0,1676,4,1679,11,1679,14,1676,14,1668,11,1664xm11,1637l4,1637,0,1640,0,1648,4,1651,11,1651,14,1648,14,1640,11,1637xm11,1608l4,1608,0,1612,0,1620,4,1622,11,1622,14,1620,14,1612,11,1608xm11,1580l4,1580,0,1584,0,1591,4,1595,11,1595,14,1591,14,1584,11,1580xm11,1552l4,1552,0,1555,0,1564,4,1566,11,1566,14,1564,14,1555,11,1552xm11,1524l4,1524,0,1526,0,1535,4,1538,11,1538,14,1535,14,1526,11,1524xm11,1495l4,1495,0,1499,0,1506,4,1510,11,1510,14,1506,14,1499,11,1495xm11,1468l4,1468,0,1470,0,1478,4,1482,11,1482,14,1478,14,1470,11,1468xm11,1439l4,1439,0,1442,0,1450,4,1453,11,1453,14,1450,14,1442,11,1439xm11,1411l4,1411,0,1414,0,1422,4,1424,11,1424,14,1422,14,1414,11,1411xm11,1382l4,1382,0,1386,0,1393,4,1397,11,1397,14,1393,14,1386,11,1382xm11,1355l4,1355,0,1357,0,1366,4,1368,11,1368,14,1366,14,1357,11,1355xm11,1326l4,1326,0,1330,0,1337,4,1340,11,1340,14,1337,14,1330,11,1326xm11,1298l4,1298,0,1301,0,1309,4,1312,11,1312,14,1309,14,1301,11,1298xm11,1270l4,1270,0,1273,0,1280,4,1284,11,1284,14,1280,14,1273,11,1270xm11,1242l4,1242,0,1244,0,1253,4,1255,11,1255,14,1253,14,1244,11,1242xm11,1213l4,1213,0,1217,0,1224,4,1228,11,1228,14,1224,14,1217,11,1213xm11,1184l4,1184,0,1188,0,1196,4,1199,11,1199,14,1196,14,1188,11,1184xm11,1157l4,1157,0,1160,0,1168,4,1171,11,1171,14,1168,14,1160,11,1157xm11,1128l4,1128,0,1132,0,1140,4,1142,11,1142,14,1140,14,1132,11,1128xm11,1100l4,1100,0,1103,0,1111,4,1115,11,1115,14,1111,14,1103,11,1100xm11,1072l4,1072,0,1075,0,1082,4,1086,11,1086,14,1082,14,1075,11,1072xm11,1044l4,1044,0,1046,0,1055,4,1058,11,1058,14,1055,14,1046,11,1044xm11,1015l4,1015,0,1019,0,1026,4,1030,11,1030,14,1026,14,1019,11,1015xm11,988l4,988,0,990,0,998,4,1001,11,1001,14,998,14,990,11,988xm11,959l4,959,0,962,0,970,4,973,11,973,14,970,14,962,11,959xm11,931l4,931,0,934,0,942,4,944,11,944,14,942,14,934,11,931xm11,902l4,902,0,906,0,913,4,917,11,917,14,913,14,906,11,902xm11,875l4,875,0,877,0,886,4,888,11,888,14,886,14,877,11,875xm11,846l4,846,0,850,0,857,4,860,11,860,14,857,14,850,11,846xm11,818l4,818,0,821,0,829,4,832,11,832,14,829,14,821,11,818xm11,790l4,790,0,793,0,800,4,804,11,804,14,800,14,793,11,790xm11,761l4,761,0,764,0,773,4,775,11,775,14,773,14,764,11,761xm11,733l4,733,0,737,0,744,4,748,11,748,14,744,14,737,11,733xm11,704l4,704,0,708,0,716,4,719,11,719,14,716,14,708,11,704xm11,677l4,677,0,680,0,688,4,691,11,691,14,688,14,680,11,677xm11,648l4,648,0,652,0,659,4,662,11,662,14,659,14,652,11,648xm11,620l4,620,0,623,0,631,4,635,11,635,14,631,14,623,11,620xm11,592l4,592,0,595,0,602,4,606,11,606,14,602,14,595,11,592xm11,564l4,564,0,566,0,575,4,578,11,578,14,575,14,566,11,564xm11,535l4,535,0,539,0,546,4,550,11,550,14,546,14,539,11,535xm11,508l4,508,0,510,0,518,4,521,11,521,14,518,14,510,11,508xm11,479l4,479,0,482,0,490,4,493,11,493,14,490,14,482,11,479xm11,451l4,451,0,454,0,462,4,464,11,464,14,462,14,454,11,451xm11,422l4,422,0,426,0,433,4,437,11,437,14,433,14,426,11,422xm11,395l4,395,0,397,0,406,4,408,11,408,14,406,14,397,11,395xm11,366l4,366,0,370,0,377,4,380,11,380,14,377,14,370,11,366xm11,337l4,337,0,341,0,349,4,352,11,352,14,349,14,341,11,337xm11,310l4,310,0,313,0,320,4,324,11,324,14,320,14,313,11,310xm11,281l4,281,0,284,0,293,4,295,11,295,14,293,14,284,11,281xm11,253l4,253,0,257,0,264,4,268,11,268,14,264,14,257,11,253xm11,224l4,224,0,228,0,236,4,239,11,239,14,236,14,228,11,224xm11,197l4,197,0,199,0,208,4,211,11,211,14,208,14,199,11,197xm11,168l4,168,0,172,0,179,4,182,11,182,14,179,14,172,11,168xm11,140l4,140,0,143,0,151,4,155,11,155,14,151,14,143,11,140xm11,112l4,112,0,115,0,122,4,126,11,126,14,122,14,115,11,112xm11,84l4,84,0,86,0,95,4,97,11,97,14,95,14,86,11,84xm11,55l4,55,0,59,0,66,4,70,11,70,14,66,14,59,11,55xm11,28l4,28,0,30,0,38,4,41,11,41,14,38,14,30,11,28xm12,0l5,0,1,4,1,11,5,14,12,14,16,11,16,4,12,0xm41,0l32,0,30,4,30,11,32,14,41,14,43,11,43,4,41,0xm68,0l61,0,58,4,58,11,61,14,68,14,72,11,72,4,68,0xm97,0l89,0,86,4,86,11,89,14,97,14,100,11,100,4,97,0xm125,0l118,0,114,4,114,11,118,14,125,14,128,11,128,4,125,0xm154,0l145,0,143,4,143,11,145,14,154,14,156,11,156,4,154,0xm181,0l174,0,170,4,170,11,174,14,181,14,185,11,185,4,181,0xm210,0l202,0,199,4,199,11,202,14,210,14,214,11,214,4,210,0xm238,0l230,0,227,4,227,11,230,14,238,14,241,11,241,4,238,0xm266,0l258,0,256,4,256,11,258,14,266,14,270,11,270,4,266,0xm294,0l287,0,283,4,283,11,287,14,294,14,298,11,298,4,294,0xm323,0l316,0,312,4,312,11,316,14,323,14,326,11,326,4,323,0xm352,0l343,0,340,4,340,11,343,14,352,14,354,11,354,4,352,0xm379,0l372,0,368,4,368,11,372,14,379,14,383,11,383,4,379,0xm408,0l400,0,396,4,396,11,400,14,408,14,410,11,410,4,408,0xm436,0l428,0,425,4,425,11,428,14,436,14,439,11,439,4,436,0xm464,0l456,0,454,4,454,11,456,14,464,14,467,11,467,4,464,0xm492,0l485,0,481,4,481,11,485,14,492,14,496,11,496,4,492,0xm521,0l512,0,510,4,510,11,512,14,521,14,523,11,523,4,521,0xm548,0l541,0,538,4,538,11,541,14,548,14,552,11,552,4,548,0xm577,0l569,0,566,4,566,11,569,14,577,14,580,11,580,4,577,0xm605,0l598,0,594,4,594,11,598,14,605,14,608,11,608,4,605,0xm634,0l625,0,623,4,623,11,625,14,634,14,637,11,637,4,634,0xm661,0l654,0,650,4,650,11,654,14,661,14,665,11,665,4,661,0xm690,0l682,0,679,4,679,11,682,14,690,14,694,11,694,4,690,0xm718,0l710,0,707,4,707,11,710,14,718,14,721,11,721,4,718,0xm746,0l738,0,736,4,736,11,738,14,746,14,750,11,750,4,746,0xm775,0l767,0,763,4,763,11,767,14,775,14,778,11,778,4,775,0xm803,0l796,0,792,4,792,11,796,14,803,14,806,11,806,4,803,0xm832,0l823,0,820,4,820,11,823,14,832,14,834,11,834,4,832,0xm859,0l852,0,848,4,848,11,852,14,859,14,863,11,863,4,859,0xm888,0l880,0,877,4,877,11,880,14,888,14,890,11,890,4,888,0xm916,0l908,0,905,4,905,11,908,14,916,14,919,11,919,4,916,0xm944,0l936,0,934,4,934,11,936,14,944,14,947,11,947,4,944,0xm972,0l965,0,961,4,961,11,965,14,972,14,976,11,976,4,972,0xm1001,0l992,0,990,4,990,11,992,14,1001,14,1003,11,1003,4,1001,0xm1028,0l1021,0,1018,4,1018,11,1021,14,1028,14,1032,11,1032,4,1028,0xm1057,0l1049,0,1046,4,1046,11,1049,14,1057,14,1060,11,1060,4,1057,0xm1085,0l1078,0,1074,4,1074,11,1078,14,1085,14,1088,11,1088,4,1085,0xm1114,0l1105,0,1103,4,1103,11,1105,14,1114,14,1117,11,1117,4,1114,0xm1141,0l1134,0,1130,4,1130,11,1134,14,1141,14,1145,11,1145,4,1141,0xm1170,0l1162,0,1159,4,1159,11,1162,14,1170,14,1174,11,1174,4,1170,0xm1199,0l1190,0,1187,4,1187,11,1190,14,1199,14,1201,11,1201,4,1199,0xm1226,0l1219,0,1216,4,1216,11,1219,14,1226,14,1230,11,1230,4,1226,0xm1255,0l1247,0,1243,4,1243,11,1247,14,1255,14,1258,11,1258,4,1255,0xm1283,0l1276,0,1272,4,1272,11,1276,14,1283,14,1286,11,1286,4,1283,0xm1312,0l1303,0,1300,4,1300,11,1303,14,1312,14,1314,11,1314,4,1312,0xm1339,0l1332,0,1328,4,1328,11,1332,14,1339,14,1343,11,1343,4,1339,0xm1368,0l1360,0,1357,4,1357,11,1360,14,1368,14,1370,11,1370,4,1368,0xm1396,0l1388,0,1385,4,1385,11,1388,14,1396,14,1399,11,1399,4,1396,0xm1424,0l1416,0,1414,4,1414,11,1416,14,1424,14,1427,11,1427,4,1424,0xm1452,0l1445,0,1441,4,1441,11,1445,14,1452,14,1456,11,1456,4,1452,0xm1481,0l1472,0,1470,4,1470,11,1472,14,1481,14,1483,11,1483,4,1481,0xm1508,0l1501,0,1498,4,1498,11,1501,14,1508,14,1512,11,1512,4,1508,0xm1537,0l1529,0,1526,4,1526,11,1529,14,1537,14,1541,11,1541,4,1537,0xm1565,0l1558,0,1554,4,1554,11,1558,14,1565,14,1568,11,1568,4,1565,0xm1594,0l1585,0,1583,4,1583,11,1585,14,1594,14,1597,11,1597,4,1594,0xm1621,0l1614,0,1610,4,1610,11,1614,14,1621,14,1625,11,1625,4,1621,0xm1650,0l1643,0,1639,4,1639,11,1643,14,1650,14,1654,11,1654,4,1650,0xm1679,0l1670,0,1667,4,1667,11,1670,14,1679,14,1681,11,1681,4,1679,0xm1706,0l1699,0,1696,4,1696,11,1699,14,1706,14,1710,11,1710,4,1706,0xm1735,0l1727,0,1723,4,1723,11,1727,14,1735,14,1738,11,1738,4,1735,0xm1763,0l1756,0,1752,4,1752,11,1756,14,1763,14,1766,11,1766,4,1763,0xm1792,0l1783,0,1781,4,1781,11,1783,14,1792,14,1794,11,1794,4,1792,0xm1819,0l1812,0,1808,4,1808,11,1812,14,1819,14,1823,11,1823,4,1819,0xm1848,0l1840,0,1837,4,1837,11,1840,14,1848,14,1850,11,1850,4,1848,0xm1876,0l1868,0,1865,4,1865,11,1868,14,1876,14,1879,11,1879,4,1876,0xm1904,0l1896,0,1894,4,1894,11,1896,14,1904,14,1907,11,1907,4,1904,0xm1932,0l1925,0,1921,4,1921,11,1925,14,1932,14,1936,11,1936,4,1932,0xm1961,0l1952,0,1950,4,1950,11,1952,14,1961,14,1963,11,1963,4,1961,0xm1988,0l1981,0,1978,4,1978,11,1981,14,1988,14,1992,11,1992,4,1988,0xm2017,0l2009,0,2006,4,2006,11,2009,14,2017,14,2021,11,2021,4,2017,0xm2045,0l2038,0,2034,4,2034,11,2038,14,2045,14,2048,11,2048,4,2045,0xm2074,0l2065,0,2063,4,2063,11,2065,14,2074,14,2077,11,2077,4,2074,0xm2102,0l2094,0,2090,4,2090,11,2094,14,2102,14,2105,11,2105,4,2102,0xm2130,0l2123,0,2119,4,2119,11,2123,14,2130,14,2134,11,2134,4,2130,0xm2159,0l2150,0,2147,4,2147,11,2150,14,2159,14,2161,11,2161,4,2159,0xm2186,0l2179,0,2176,4,2176,11,2179,14,2186,14,2190,11,2190,4,2186,0xm2215,0l2207,0,2204,4,2204,11,2207,14,2215,14,2218,11,2218,4,2215,0xm2243,0l2236,0,2232,4,2232,11,2236,14,2243,14,2246,11,2246,4,2243,0xm2272,0l2263,0,2261,4,2261,11,2263,14,2272,14,2274,11,2274,4,2272,0xm2299,0l2292,0,2288,4,2288,11,2292,14,2299,14,2303,11,2303,4,2299,0xm2328,0l2320,0,2317,4,2317,11,2320,14,2328,14,2330,11,2330,4,2328,0xm2356,0l2348,0,2345,4,2345,11,2348,14,2356,14,2359,11,2359,4,2356,0xm2384,0l2376,0,2374,4,2374,11,2376,14,2384,14,2387,11,2387,4,2384,0xm2412,0l2405,0,2401,4,2401,11,2405,14,2412,14,2416,11,2416,4,2412,0xm2441,0l2432,0,2430,4,2430,11,2432,14,2441,14,2444,11,2444,4,2441,0xm2468,0l2461,0,2458,4,2458,11,2461,14,2468,14,2472,11,2472,4,2468,0xm2497,0l2489,0,2486,4,2486,11,2489,14,2497,14,2501,11,2501,4,2497,0xm2525,0l2518,0,2514,4,2514,11,2518,14,2525,14,2528,11,2528,4,2525,0xm2554,0l2546,0,2543,4,2543,11,2546,14,2554,14,2557,11,2557,4,2554,0xm2582,0l2574,0,2570,4,2570,11,2574,14,2582,14,2585,11,2585,4,2582,0xm2610,0l2603,0,2599,4,2599,11,2603,14,2610,14,2614,11,2614,4,2610,0xm2639,0l2630,0,2627,4,2627,11,2630,14,2639,14,2641,11,2641,4,2639,0xm2666,0l2659,0,2656,4,2656,11,2659,14,2666,14,2670,11,2670,4,2666,0xm2695,0l2687,0,2684,4,2684,11,2687,14,2695,14,2698,11,2698,4,2695,0xm2723,0l2716,0,2712,4,2712,11,2716,14,2723,14,2726,11,2726,4,2723,0xm2752,0l2743,0,2741,4,2741,11,2743,14,2752,14,2754,11,2754,4,2752,0xm2779,0l2772,0,2768,4,2768,11,2772,14,2779,14,2783,11,2783,4,2779,0xm2808,0l2800,0,2797,4,2797,11,2800,14,2808,14,2810,11,2810,4,2808,0xm2836,0l2828,0,2825,4,2825,11,2828,14,2836,14,2839,11,2839,4,2836,0xm2864,0l2856,0,2854,4,2854,11,2856,14,2864,14,2868,11,2868,4,2864,0xm2892,0l2885,0,2881,4,2881,11,2885,14,2892,14,2896,11,2896,4,2892,0xm2921,0l2912,0,2910,4,2910,11,2912,14,2921,14,2924,11,2924,4,2921,0xm2948,0l2941,0,2938,4,2938,11,2941,14,2948,14,2952,11,2952,4,2948,0xm2977,0l2969,0,2966,4,2966,11,2969,14,2977,14,2981,11,2981,4,2977,0xm3006,0l2998,0,2994,4,2994,11,2998,14,3006,14,3008,11,3008,4,3006,0xm3034,0l3026,0,3023,4,3023,11,3026,14,3034,14,3037,11,3037,4,3034,0xm3062,0l3054,0,3050,4,3050,11,3054,14,3062,14,3065,11,3065,4,3062,0xm3090,0l3083,0,3079,4,3079,11,3083,14,3090,14,3094,11,3094,4,3090,0xm3119,0l3110,0,3108,4,3108,11,3110,14,3119,14,3121,11,3121,4,3119,0xm3146,0l3139,0,3136,4,3136,11,3139,14,3146,14,3150,11,3150,4,3146,0xm3175,0l3167,0,3164,4,3164,11,3167,14,3175,14,3178,11,3178,4,3175,0xm3203,0l3196,0,3192,4,3192,11,3196,14,3203,14,3206,11,3206,4,3203,0xm3232,0l3223,0,3221,4,3221,11,3223,14,3232,14,3234,11,3234,4,3232,0xm3259,0l3252,0,3248,4,3248,11,3252,14,3259,14,3263,11,3263,4,3259,0xm3288,0l3280,0,3277,4,3277,11,3280,14,3288,14,3290,11,3290,4,3288,0xm3316,0l3308,0,3305,4,3305,11,3308,14,3316,14,3319,11,3319,4,3316,0xm3344,0l3336,0,3334,4,3334,11,3336,14,3344,14,3348,11,3348,4,3344,0xm3372,0l3365,0,3361,4,3361,11,3365,14,3372,14,3376,11,3376,4,3372,0xm3401,0l3392,0,3390,4,3390,11,3392,14,3401,14,3404,11,3404,4,3401,0xm3430,0l3421,0,3418,4,3418,11,3421,14,3430,14,3432,11,3432,4,3430,0xm3457,0l3450,0,3446,4,3446,11,3450,14,3457,14,3461,11,3461,4,3457,0xm3486,0l3478,0,3474,4,3474,11,3478,14,3486,14,3488,11,3488,4,3486,0xm3514,0l3506,0,3503,4,3503,11,3506,14,3514,14,3517,11,3517,4,3514,0xm3542,0l3534,0,3532,4,3532,11,3534,14,3542,14,3545,11,3545,4,3542,0xm3570,0l3563,0,3559,4,3559,11,3563,14,3570,14,3574,11,3574,4,3570,0xm3599,0l3590,0,3588,4,3588,11,3590,14,3599,14,3601,11,3601,4,3599,0xm3626,0l3619,0,3616,4,3616,11,3619,14,3626,14,3630,11,3630,4,3626,0xm3655,0l3647,0,3644,4,3644,11,3647,14,3655,14,3658,11,3658,4,3655,0xm3683,0l3676,0,3672,4,3672,11,3676,14,3683,14,3686,11,3686,4,3683,0xm3712,0l3703,0,3701,4,3701,11,3703,14,3712,14,3714,11,3714,4,3712,0xm3739,0l3732,0,3728,4,3728,11,3732,14,3739,14,3743,11,3743,4,3739,0xm3768,0l3760,0,3757,4,3757,11,3760,14,3768,14,3772,11,3772,4,3768,0xm3796,0l3788,0,3785,4,3785,11,3788,14,3796,14,3799,11,3799,4,3796,0xm3824,0l3816,0,3814,4,3814,11,3816,14,3824,14,3828,11,3828,4,3824,0xm3846,6l3838,6,3835,10,3835,18,3838,20,3846,20,3850,18,3850,10,3846,6xm3846,35l3838,35,3835,38,3835,46,3838,49,3846,49,3850,46,3850,38,3846,35xm3846,64l3838,64,3835,66,3835,74,3838,77,3846,77,3850,74,3850,66,3846,64xm3846,91l3838,91,3835,95,3835,102,3838,106,3846,106,3850,102,3850,95,3846,91xm3846,120l3838,120,3835,122,3835,131,3838,133,3846,133,3850,131,3850,122,3846,120xm3846,148l3838,148,3835,151,3835,158,3838,162,3846,162,3850,158,3850,151,3846,148xm3846,176l3838,176,3835,179,3835,187,3838,190,3846,190,3850,187,3850,179,3846,176xm3846,204l3838,204,3835,208,3835,215,3838,218,3846,218,3850,215,3850,208,3846,204xm3846,233l3838,233,3835,235,3835,244,3838,246,3846,246,3850,244,3850,235,3846,233xm3846,260l3838,260,3835,264,3835,271,3838,275,3846,275,3850,271,3850,264,3846,260xm3846,289l3838,289,3835,292,3835,300,3838,304,3846,304,3850,300,3850,292,3846,289xm3846,317l3838,317,3835,320,3835,328,3838,331,3846,331,3850,328,3850,320,3846,317xm3846,346l3838,346,3835,348,3835,356,3838,360,3846,360,3850,356,3850,348,3846,346xm3846,373l3838,373,3835,377,3835,385,3838,388,3846,388,3850,385,3850,377,3846,373xm3846,402l3838,402,3835,406,3835,413,3838,416,3846,416,3850,413,3850,406,3846,402xm3846,430l3838,430,3835,433,3835,442,3838,444,3846,444,3850,442,3850,433,3846,430xm3846,458l3838,458,3835,462,3835,469,3838,473,3846,473,3850,469,3850,462,3846,458xm3846,487l3838,487,3835,490,3835,498,3838,500,3846,500,3850,498,3850,490,3846,487xm3846,515l3838,515,3835,518,3835,526,3838,529,3846,529,3850,526,3850,518,3846,515xm3846,544l3838,544,3835,546,3835,554,3838,557,3846,557,3850,554,3850,546,3846,544xm3846,571l3838,571,3835,575,3835,582,3838,586,3846,586,3850,582,3850,575,3846,571xm3846,600l3838,600,3835,602,3835,611,3838,613,3846,613,3850,611,3850,602,3846,600xm3846,628l3838,628,3835,631,3835,638,3838,642,3846,642,3850,638,3850,631,3846,628xm3846,656l3838,656,3835,659,3835,667,3838,670,3846,670,3850,667,3850,659,3846,656xm3846,684l3838,684,3835,688,3835,695,3838,698,3846,698,3850,695,3850,688,3846,684xm3846,713l3838,713,3835,715,3835,724,3838,727,3846,727,3850,724,3850,715,3846,713xm3846,740l3838,740,3835,744,3835,751,3838,755,3846,755,3850,751,3850,744,3846,740xm3846,769l3838,769,3835,772,3835,780,3838,784,3846,784,3850,780,3850,772,3846,769xm3846,797l3838,797,3835,800,3835,808,3838,811,3846,811,3850,808,3850,800,3846,797xm3846,826l3838,826,3835,829,3835,836,3838,840,3846,840,3850,836,3850,829,3846,826xm3846,853l3838,853,3835,857,3835,865,3838,868,3846,868,3850,865,3850,857,3846,853xm3846,882l3838,882,3835,886,3835,893,3838,896,3846,896,3850,893,3850,886,3846,882xm3846,910l3838,910,3835,913,3835,922,3838,924,3846,924,3850,922,3850,913,3846,910xm3846,938l3838,938,3835,942,3835,949,3838,953,3846,953,3850,949,3850,942,3846,938xm3846,967l3838,967,3835,970,3835,978,3838,980,3846,980,3850,978,3850,970,3846,967xm3846,995l3838,995,3835,998,3835,1006,3838,1009,3846,1009,3850,1006,3850,998,3846,995xm3846,1024l3838,1024,3835,1026,3835,1034,3838,1037,3846,1037,3850,1034,3850,1026,3846,1024xm3846,1051l3838,1051,3835,1055,3835,1062,3838,1066,3846,1066,3850,1062,3850,1055,3846,1051xm3846,1080l3838,1080,3835,1082,3835,1091,3838,1093,3846,1093,3850,1091,3850,1082,3846,1080xm3846,1108l3838,1108,3835,1111,3835,1118,3838,1122,3846,1122,3850,1118,3850,1111,3846,1108xm3846,1136l3838,1136,3835,1139,3835,1147,3838,1151,3846,1151,3850,1147,3850,1139,3846,1136xm3846,1164l3838,1164,3835,1168,3835,1175,3838,1178,3846,1178,3850,1175,3850,1168,3846,1164xm3846,1193l3838,1193,3835,1195,3835,1204,3838,1207,3846,1207,3850,1204,3850,1195,3846,1193xm3846,1220l3838,1220,3835,1224,3835,1231,3838,1235,3846,1235,3850,1231,3850,1224,3846,1220xm3846,1249l3838,1249,3835,1252,3835,1260,3838,1264,3846,1264,3850,1260,3850,1252,3846,1249xm3846,1277l3838,1277,3835,1280,3835,1289,3838,1291,3846,1291,3850,1289,3850,1280,3846,1277xm3846,1306l3838,1306,3835,1309,3835,1316,3838,1320,3846,1320,3850,1316,3850,1309,3846,1306xm3846,1333l3838,1333,3835,1337,3835,1345,3838,1348,3846,1348,3850,1345,3850,1337,3846,1333xm3846,1362l3838,1362,3835,1366,3835,1373,3838,1376,3846,1376,3850,1373,3850,1366,3846,1362xm3846,1391l3838,1391,3835,1393,3835,1402,3838,1404,3846,1404,3850,1402,3850,1393,3846,1391xm3846,1418l3838,1418,3835,1422,3835,1429,3838,1433,3846,1433,3850,1429,3850,1422,3846,1418xm3846,1447l3838,1447,3835,1450,3835,1458,3838,1460,3846,1460,3850,1458,3850,1450,3846,1447xm3846,1475l3838,1475,3835,1478,3835,1486,3838,1489,3846,1489,3850,1486,3850,1478,3846,1475xm3846,1504l3838,1504,3835,1506,3835,1514,3838,1517,3846,1517,3850,1514,3850,1506,3846,1504xm3846,1531l3838,1531,3835,1535,3835,1542,3838,1546,3846,1546,3850,1542,3850,1535,3846,1531xm3846,1560l3838,1560,3835,1562,3835,1571,3838,1573,3846,1573,3850,1571,3850,1562,3846,1560xm3846,1588l3838,1588,3835,1591,3835,1598,3838,1602,3846,1602,3850,1598,3850,1591,3846,1588xm3846,1616l3838,1616,3835,1619,3835,1627,3838,1631,3846,1631,3850,1627,3850,1619,3846,1616xm3846,1644l3838,1644,3835,1648,3835,1655,3838,1658,3846,1658,3850,1655,3850,1648,3846,1644xm3846,1673l3838,1673,3835,1675,3835,1684,3838,1687,3846,1687,3850,1684,3850,1675,3846,1673xm3846,1700l3838,1700,3835,1704,3835,1712,3838,1715,3846,1715,3850,1712,3850,1704,3846,1700xm3846,1729l3838,1729,3835,1733,3835,1740,3838,1744,3846,1744,3850,1740,3850,1733,3846,1729xm3846,1757l3838,1757,3835,1760,3835,1769,3838,1771,3846,1771,3850,1769,3850,1760,3846,1757xm3846,1786l3838,1786,3835,1789,3835,1796,3838,1800,3846,1800,3850,1796,3850,1789,3846,1786xm3846,1813l3838,1813,3835,1817,3835,1825,3838,1828,3846,1828,3850,1825,3850,1817,3846,1813xm3846,1842l3838,1842,3835,1846,3835,1853,3838,1856,3846,1856,3850,1853,3850,1846,3846,1842xm3846,1871l3838,1871,3835,1873,3835,1882,3838,1884,3846,1884,3850,1882,3850,1873,3846,1871xm3846,1898l3838,1898,3835,1902,3835,1909,3838,1913,3846,1913,3850,1909,3850,1902,3846,1898xm3824,1906l3816,1906,3814,1908,3814,1916,3816,1919,3824,1919,3827,1916,3827,1908,3824,1906xm3796,1906l3788,1906,3785,1908,3785,1916,3788,1919,3796,1919,3799,1916,3799,1908,3796,1906xm3768,1906l3760,1906,3757,1908,3757,1916,3760,1919,3768,1919,3770,1916,3770,1908,3768,1906xm3739,1906l3732,1906,3728,1908,3728,1916,3732,1919,3739,1919,3743,1916,3743,1908,3739,1906xm3712,1906l3703,1906,3701,1908,3701,1916,3703,1919,3712,1919,3714,1916,3714,1908,3712,1906xm3683,1906l3676,1906,3672,1908,3672,1916,3676,1919,3683,1919,3686,1916,3686,1908,3683,1906xm3655,1906l3647,1906,3643,1908,3643,1916,3647,1919,3655,1919,3658,1916,3658,1908,3655,1906xm3626,1906l3619,1906,3616,1908,3616,1916,3619,1919,3626,1919,3630,1916,3630,1908,3626,1906xm3599,1906l3590,1906,3587,1908,3587,1916,3590,1919,3599,1919,3601,1916,3601,1908,3599,1906xm3570,1906l3563,1906,3559,1908,3559,1916,3563,1919,3570,1919,3574,1916,3574,1908,3570,1906xm3542,1906l3534,1906,3530,1908,3530,1916,3534,1919,3542,1919,3545,1916,3545,1908,3542,1906xm3514,1906l3505,1906,3503,1908,3503,1916,3505,1919,3514,1919,3517,1916,3517,1908,3514,1906xm3485,1906l3478,1906,3474,1908,3474,1916,3478,1919,3485,1919,3488,1916,3488,1908,3485,1906xm3457,1906l3449,1906,3446,1908,3446,1916,3449,1919,3457,1919,3461,1916,3461,1908,3457,1906xm3428,1906l3421,1906,3418,1908,3418,1916,3421,1919,3428,1919,3432,1916,3432,1908,3428,1906xm3401,1906l3392,1906,3390,1908,3390,1916,3392,1919,3401,1919,3403,1916,3403,1908,3401,1906xm3372,1906l3365,1906,3361,1908,3361,1916,3365,1919,3372,1919,3376,1916,3376,1908,3372,1906xm3344,1906l3336,1906,3334,1908,3334,1916,3336,1919,3344,1919,3347,1916,3347,1908,3344,1906xm3316,1906l3308,1906,3305,1908,3305,1916,3308,1919,3316,1919,3319,1916,3319,1908,3316,1906xm3288,1906l3280,1906,3277,1908,3277,1916,3280,1919,3288,1919,3290,1916,3290,1908,3288,1906xm3259,1906l3252,1906,3248,1908,3248,1916,3252,1919,3259,1919,3263,1916,3263,1908,3259,1906xm3232,1906l3223,1906,3221,1908,3221,1916,3223,1919,3232,1919,3234,1916,3234,1908,3232,1906xm3203,1906l3196,1906,3192,1908,3192,1916,3196,1919,3203,1919,3206,1916,3206,1908,3203,1906xm3175,1906l3167,1906,3163,1908,3163,1916,3167,1919,3175,1919,3178,1916,3178,1908,3175,1906xm3146,1906l3139,1906,3136,1908,3136,1916,3139,1919,3146,1919,3150,1916,3150,1908,3146,1906xm3119,1906l3110,1906,3107,1908,3107,1916,3110,1919,3119,1919,3121,1916,3121,1908,3119,1906xm3090,1906l3082,1906,3079,1908,3079,1916,3082,1919,3090,1919,3094,1916,3094,1908,3090,1906xm3061,1906l3054,1906,3050,1908,3050,1916,3054,1919,3061,1919,3065,1916,3065,1908,3061,1906xm3034,1906l3025,1906,3023,1908,3023,1916,3025,1919,3034,1919,3037,1916,3037,1908,3034,1906xm3005,1906l2998,1906,2994,1908,2994,1916,2998,1919,3005,1919,3008,1916,3008,1908,3005,1906xm2977,1906l2969,1906,2966,1908,2966,1916,2969,1919,2977,1919,2981,1916,2981,1908,2977,1906xm2948,1906l2941,1906,2938,1908,2938,1916,2941,1919,2948,1919,2952,1916,2952,1908,2948,1906xm2921,1906l2912,1906,2910,1908,2910,1916,2912,1919,2921,1919,2923,1916,2923,1908,2921,1906xm2892,1906l2885,1906,2881,1908,2881,1916,2885,1919,2892,1919,2896,1916,2896,1908,2892,1906xm2864,1906l2856,1906,2854,1908,2854,1916,2856,1919,2864,1919,2867,1916,2867,1908,2864,1906xm2836,1906l2828,1906,2825,1908,2825,1916,2828,1919,2836,1919,2839,1916,2839,1908,2836,1906xm2808,1906l2800,1906,2797,1908,2797,1916,2800,1919,2808,1919,2810,1916,2810,1908,2808,1906xm2779,1906l2772,1906,2768,1908,2768,1916,2772,1919,2779,1919,2783,1916,2783,1908,2779,1906xm2752,1906l2743,1906,2740,1908,2740,1916,2743,1919,2752,1919,2754,1916,2754,1908,2752,1906xm2723,1906l2716,1906,2712,1908,2712,1916,2716,1919,2723,1919,2726,1916,2726,1908,2723,1906xm2695,1906l2687,1906,2683,1908,2683,1916,2687,1919,2695,1919,2698,1916,2698,1908,2695,1906xm2666,1906l2659,1906,2656,1908,2656,1916,2659,1919,2666,1919,2670,1916,2670,1908,2666,1906xm2638,1906l2630,1906,2627,1908,2627,1916,2630,1919,2638,1919,2641,1916,2641,1908,2638,1906xm2610,1906l2602,1906,2599,1908,2599,1916,2602,1919,2610,1919,2614,1916,2614,1908,2610,1906xm2581,1906l2574,1906,2570,1908,2570,1916,2574,1919,2581,1919,2585,1916,2585,1908,2581,1906xm2554,1906l2545,1906,2543,1908,2543,1916,2545,1919,2554,1919,2557,1916,2557,1908,2554,1906xm2525,1906l2518,1906,2514,1908,2514,1916,2518,1919,2525,1919,2528,1916,2528,1908,2525,1906xm2497,1906l2489,1906,2486,1908,2486,1916,2489,1919,2497,1919,2500,1916,2500,1908,2497,1906xm2468,1906l2461,1906,2458,1908,2458,1916,2461,1919,2468,1919,2472,1916,2472,1908,2468,1906xm2441,1906l2432,1906,2430,1908,2430,1916,2432,1919,2441,1919,2443,1916,2443,1908,2441,1906xm2412,1906l2405,1906,2401,1908,2401,1916,2405,1919,2412,1919,2416,1916,2416,1908,2412,1906xm2384,1906l2376,1906,2374,1908,2374,1916,2376,1919,2384,1919,2387,1916,2387,1908,2384,1906xm2356,1906l2348,1906,2345,1908,2345,1916,2348,1919,2356,1919,2359,1916,2359,1908,2356,1906xm2328,1906l2320,1906,2317,1908,2317,1916,2320,1919,2328,1919,2330,1916,2330,1908,2328,1906xm2299,1906l2292,1906,2288,1908,2288,1916,2292,1919,2299,1919,2303,1916,2303,1908,2299,1906xm2272,1906l2263,1906,2260,1908,2260,1916,2263,1919,2272,1919,2274,1916,2274,1908,2272,1906xm2243,1906l2236,1906,2232,1908,2232,1916,2236,1919,2243,1919,2246,1916,2246,1908,2243,1906xm2215,1906l2207,1906,2203,1908,2203,1916,2207,1919,2215,1919,2218,1916,2218,1908,2215,1906xm2186,1906l2178,1906,2176,1908,2176,1916,2178,1919,2186,1919,2190,1916,2190,1908,2186,1906xm2158,1906l2150,1906,2147,1908,2147,1916,2150,1919,2158,1919,2161,1916,2161,1908,2158,1906xm2130,1906l2122,1906,2119,1908,2119,1916,2122,1919,2130,1919,2134,1916,2134,1908,2130,1906xm2101,1906l2094,1906,2090,1908,2090,1916,2094,1919,2101,1919,2105,1916,2105,1908,2101,1906xm2074,1906l2065,1906,2063,1908,2063,1916,2065,1919,2074,1919,2076,1916,2076,1908,2074,1906xm2045,1906l2038,1906,2034,1908,2034,1916,2038,1919,2045,1919,2048,1916,2048,1908,2045,1906xm2017,1906l2009,1906,2006,1908,2006,1916,2009,1919,2017,1919,2020,1916,2020,1908,2017,1906xm1988,1906l1981,1906,1978,1908,1978,1916,1981,1919,1988,1919,1992,1916,1992,1908,1988,1906xm1961,1906l1952,1906,1950,1908,1950,1916,1952,1919,1961,1919,1963,1916,1963,1908,1961,1906xm1932,1906l1925,1906,1921,1908,1921,1916,1925,1919,1932,1919,1936,1916,1936,1908,1932,1906xm1904,1906l1896,1906,1894,1908,1894,1916,1896,1919,1904,1919,1907,1916,1907,1908,1904,1906xm1876,1906l1868,1906,1865,1908,1865,1916,1868,1919,1876,1919,1879,1916,1879,1908,1876,1906xm1848,1906l1840,1906,1836,1908,1836,1916,1840,1919,1848,1919,1850,1916,1850,1908,1848,1906xm1819,1906l1812,1906,1808,1908,1808,1916,1812,1919,1819,1919,1823,1916,1823,1908,1819,1906xm1792,1906l1783,1906,1780,1908,1780,1916,1783,1919,1792,1919,1794,1916,1794,1908,1792,1906xm1763,1906l1754,1906,1752,1908,1752,1916,1754,1919,1763,1919,1766,1916,1766,1908,1763,1906xm1734,1906l1727,1906,1723,1908,1723,1916,1727,1919,1734,1919,1738,1916,1738,1908,1734,1906xm1706,1906l1698,1906,1696,1908,1696,1916,1698,1919,1706,1919,1710,1916,1710,1908,1706,1906xm1678,1906l1670,1906,1667,1908,1667,1916,1670,1919,1678,1919,1681,1916,1681,1908,1678,1906xm1650,1906l1642,1906,1639,1908,1639,1916,1642,1919,1650,1919,1654,1916,1654,1908,1650,1906xm1621,1906l1614,1906,1610,1908,1610,1916,1614,1919,1621,1919,1625,1916,1625,1908,1621,1906xm1594,1906l1585,1906,1583,1908,1583,1916,1585,1919,1594,1919,1596,1916,1596,1908,1594,1906xm1565,1906l1558,1906,1554,1908,1554,1916,1558,1919,1565,1919,1568,1916,1568,1908,1565,1906xm1537,1906l1529,1906,1526,1908,1526,1916,1529,1919,1537,1919,1540,1916,1540,1908,1537,1906xm1508,1906l1501,1906,1498,1908,1498,1916,1501,1919,1508,1919,1512,1916,1512,1908,1508,1906xm1481,1906l1472,1906,1470,1908,1470,1916,1472,1919,1481,1919,1483,1916,1483,1908,1481,1906xm1452,1906l1445,1906,1441,1908,1441,1916,1445,1919,1452,1919,1456,1916,1456,1908,1452,1906xm1424,1906l1416,1906,1412,1908,1412,1916,1416,1919,1424,1919,1427,1916,1427,1908,1424,1906xm1396,1906l1388,1906,1385,1908,1385,1916,1388,1919,1396,1919,1399,1916,1399,1908,1396,1906xm1368,1906l1360,1906,1356,1908,1356,1916,1360,1919,1368,1919,1370,1916,1370,1908,1368,1906xm1339,1906l1332,1906,1328,1908,1328,1916,1332,1919,1339,1919,1343,1916,1343,1908,1339,1906xm1310,1906l1303,1906,1300,1908,1300,1916,1303,1919,1310,1919,1314,1916,1314,1908,1310,1906xm1283,1906l1274,1906,1272,1908,1272,1916,1274,1919,1283,1919,1286,1916,1286,1908,1283,1906xm1254,1906l1247,1906,1243,1908,1243,1916,1247,1919,1254,1919,1258,1916,1258,1908,1254,1906xm1226,1906l1218,1906,1216,1908,1216,1916,1218,1919,1226,1919,1230,1916,1230,1908,1226,1906xm1198,1906l1190,1906,1187,1908,1187,1916,1190,1919,1198,1919,1201,1916,1201,1908,1198,1906xm1170,1906l1162,1906,1159,1908,1159,1916,1162,1919,1170,1919,1172,1916,1172,1908,1170,1906xm1141,1906l1134,1906,1130,1908,1130,1916,1134,1919,1141,1919,1145,1916,1145,1908,1141,1906xm1114,1906l1105,1906,1103,1908,1103,1916,1105,1919,1114,1919,1116,1916,1116,1908,1114,1906xm1085,1906l1078,1906,1074,1908,1074,1916,1078,1919,1085,1919,1088,1916,1088,1908,1085,1906xm1057,1906l1049,1906,1046,1908,1046,1916,1049,1919,1057,1919,1060,1916,1060,1908,1057,1906xm1028,1906l1021,1906,1018,1908,1018,1916,1021,1919,1028,1919,1032,1916,1032,1908,1028,1906xm1001,1906l992,1906,990,1908,990,1916,992,1919,1001,1919,1003,1916,1003,1908,1001,1906xm972,1906l965,1906,961,1908,961,1916,965,1919,972,1919,976,1916,976,1908,972,1906xm944,1906l936,1906,932,1908,932,1916,936,1919,944,1919,947,1916,947,1908,944,1906xm916,1906l908,1906,905,1908,905,1916,908,1919,916,1919,919,1916,919,1908,916,1906xm888,1906l880,1906,876,1908,876,1916,880,1919,888,1919,890,1916,890,1908,888,1906xm859,1906l851,1906,848,1908,848,1916,851,1919,859,1919,863,1916,863,1908,859,1906xm830,1906l823,1906,820,1908,820,1916,823,1919,830,1919,834,1916,834,1908,830,1906xm803,1906l794,1906,792,1908,792,1916,794,1919,803,1919,806,1916,806,1908,803,1906xm774,1906l767,1906,763,1908,763,1916,767,1919,774,1919,778,1916,778,1908,774,1906xm746,1906l738,1906,736,1908,736,1916,738,1919,746,1919,749,1916,749,1908,746,1906xm718,1906l710,1906,707,1908,707,1916,710,1919,718,1919,721,1916,721,1908,718,1906xm690,1906l682,1906,679,1908,679,1916,682,1919,690,1919,692,1916,692,1908,690,1906xm661,1906l654,1906,650,1908,650,1916,654,1919,661,1919,665,1916,665,1908,661,1906xm634,1906l625,1906,623,1908,623,1916,625,1919,634,1919,636,1916,636,1908,634,1906xm605,1906l598,1906,594,1908,594,1916,598,1919,605,1919,608,1916,608,1908,605,1906xm577,1906l569,1906,566,1908,566,1916,569,1919,577,1919,580,1916,580,1908,577,1906xm548,1906l541,1906,538,1908,538,1916,541,1919,548,1919,552,1916,552,1908,548,1906xm521,1906l512,1906,509,1908,509,1916,512,1919,521,1919,523,1916,523,1908,521,1906xm492,1906l485,1906,481,1908,481,1916,485,1919,492,1919,496,1916,496,1908,492,1906xm464,1906l456,1906,452,1908,452,1916,456,1919,464,1919,467,1916,467,1908,464,1906xm436,1906l428,1906,425,1908,425,1916,428,1919,436,1919,439,1916,439,1908,436,1906xm407,1906l400,1906,396,1908,396,1916,400,1919,407,1919,410,1916,410,1908,407,1906xm379,1906l371,1906,368,1908,368,1916,371,1919,379,1919,383,1916,383,1908,379,1906xm350,1906l343,1906,340,1908,340,1916,343,1919,350,1919,354,1916,354,1908,350,1906xm323,1906l314,1906,312,1908,312,1916,314,1919,323,1919,326,1916,326,1908,323,1906xm294,1906l287,1906,283,1908,283,1916,287,1919,294,1919,298,1916,298,1908,294,1906xm266,1906l258,1906,256,1908,256,1916,258,1919,266,1919,269,1916,269,1908,266,1906xm238,1906l230,1906,227,1908,227,1916,230,1919,238,1919,241,1916,241,1908,238,1906xm210,1906l202,1906,199,1908,199,1916,202,1919,210,1919,212,1916,212,1908,210,1906xm181,1906l174,1906,170,1908,170,1916,174,1919,181,1919,185,1916,185,1908,181,1906xm154,1906l145,1906,143,1908,143,1916,145,1919,154,1919,156,1916,156,1908,154,1906xm125,1906l118,1906,114,1908,114,1916,118,1919,125,1919,128,1916,128,1908,125,1906xm97,1906l89,1906,85,1908,85,1916,89,1919,97,1919,100,1916,100,1908,97,1906xm68,1906l61,1906,58,1908,58,1916,61,1919,68,1919,72,1916,72,1908,68,1906xm41,1906l32,1906,29,1908,29,1916,32,1919,41,1919,43,1916,43,1908,41,1906xe" filled="true" fillcolor="#000000" stroked="false">
              <v:path arrowok="t"/>
              <v:fill type="solid"/>
            </v:shape>
            <v:shape style="position:absolute;left:0;top:0;width:3850;height:1919" type="#_x0000_t202" filled="false" stroked="false">
              <v:textbox inset="0,0,0,0">
                <w:txbxContent>
                  <w:p>
                    <w:pPr>
                      <w:spacing w:before="77"/>
                      <w:ind w:left="130" w:right="129" w:firstLine="0"/>
                      <w:jc w:val="center"/>
                      <w:rPr>
                        <w:sz w:val="19"/>
                      </w:rPr>
                    </w:pPr>
                    <w:r>
                      <w:rPr>
                        <w:sz w:val="19"/>
                      </w:rPr>
                      <w:t>GIANNI, ORIGONI, GRIPPO, CAPPELLI &amp; PARTNERS</w:t>
                    </w:r>
                  </w:p>
                  <w:p>
                    <w:pPr>
                      <w:spacing w:line="237" w:lineRule="auto" w:before="0"/>
                      <w:ind w:left="703" w:right="701" w:firstLine="0"/>
                      <w:jc w:val="center"/>
                      <w:rPr>
                        <w:b/>
                        <w:sz w:val="19"/>
                      </w:rPr>
                    </w:pPr>
                    <w:r>
                      <w:rPr>
                        <w:b/>
                        <w:sz w:val="19"/>
                      </w:rPr>
                      <w:t>AVV. ALBERTO NANNI AVV. GABRIELLA COVINO AVV. LUCA JEANTET</w:t>
                    </w:r>
                  </w:p>
                  <w:p>
                    <w:pPr>
                      <w:spacing w:line="213" w:lineRule="exact" w:before="1"/>
                      <w:ind w:left="129" w:right="129" w:firstLine="0"/>
                      <w:jc w:val="center"/>
                      <w:rPr>
                        <w:b/>
                        <w:sz w:val="19"/>
                      </w:rPr>
                    </w:pPr>
                    <w:r>
                      <w:rPr>
                        <w:b/>
                        <w:sz w:val="19"/>
                      </w:rPr>
                      <w:t>AVV. DANIELA AMHOF</w:t>
                    </w:r>
                  </w:p>
                  <w:p>
                    <w:pPr>
                      <w:spacing w:line="247" w:lineRule="auto" w:before="3"/>
                      <w:ind w:left="703" w:right="700" w:firstLine="0"/>
                      <w:jc w:val="center"/>
                      <w:rPr>
                        <w:sz w:val="22"/>
                      </w:rPr>
                    </w:pPr>
                    <w:r>
                      <w:rPr>
                        <w:w w:val="105"/>
                        <w:sz w:val="22"/>
                      </w:rPr>
                      <w:t>Piazza Belgioioso, n. 2 20121 Milano</w:t>
                    </w:r>
                  </w:p>
                </w:txbxContent>
              </v:textbox>
              <w10:wrap type="none"/>
            </v:shape>
          </v:group>
        </w:pict>
      </w:r>
      <w:r>
        <w:rPr>
          <w:rFonts w:ascii="Times New Roman"/>
          <w:sz w:val="20"/>
        </w:rPr>
      </w:r>
    </w:p>
    <w:p>
      <w:pPr>
        <w:pStyle w:val="BodyText"/>
        <w:rPr>
          <w:rFonts w:ascii="Times New Roman"/>
          <w:sz w:val="20"/>
        </w:rPr>
      </w:pPr>
    </w:p>
    <w:p>
      <w:pPr>
        <w:pStyle w:val="BodyText"/>
        <w:rPr>
          <w:rFonts w:ascii="Times New Roman"/>
          <w:sz w:val="21"/>
        </w:rPr>
      </w:pPr>
    </w:p>
    <w:p>
      <w:pPr>
        <w:pStyle w:val="Heading2"/>
        <w:ind w:left="2091"/>
        <w:jc w:val="left"/>
      </w:pPr>
      <w:r>
        <w:rPr>
          <w:u w:val="single"/>
        </w:rPr>
        <w:t>TRIBUNALE  DI ALESSANDRIA</w:t>
      </w:r>
    </w:p>
    <w:p>
      <w:pPr>
        <w:pStyle w:val="BodyText"/>
        <w:spacing w:before="9"/>
        <w:rPr>
          <w:b/>
          <w:sz w:val="13"/>
        </w:rPr>
      </w:pPr>
    </w:p>
    <w:p>
      <w:pPr>
        <w:spacing w:before="106"/>
        <w:ind w:left="397" w:right="2233" w:firstLine="0"/>
        <w:jc w:val="center"/>
        <w:rPr>
          <w:b/>
          <w:sz w:val="22"/>
        </w:rPr>
      </w:pPr>
      <w:r>
        <w:rPr>
          <w:b/>
          <w:sz w:val="22"/>
        </w:rPr>
        <w:t>Sezione Fallimentare</w:t>
      </w:r>
    </w:p>
    <w:p>
      <w:pPr>
        <w:pStyle w:val="BodyText"/>
        <w:spacing w:before="1"/>
        <w:rPr>
          <w:b/>
          <w:sz w:val="23"/>
        </w:rPr>
      </w:pPr>
    </w:p>
    <w:p>
      <w:pPr>
        <w:spacing w:line="494" w:lineRule="auto" w:before="0"/>
        <w:ind w:left="556" w:right="1344" w:firstLine="242"/>
        <w:jc w:val="left"/>
        <w:rPr>
          <w:b/>
          <w:sz w:val="22"/>
        </w:rPr>
      </w:pPr>
      <w:r>
        <w:rPr>
          <w:b/>
          <w:w w:val="105"/>
          <w:sz w:val="22"/>
        </w:rPr>
        <w:t>R.G. 9/2017 C.P. - G.D. Dott.ssa SANTINELLO CATERINA Commissari</w:t>
      </w:r>
      <w:r>
        <w:rPr>
          <w:b/>
          <w:spacing w:val="-22"/>
          <w:w w:val="105"/>
          <w:sz w:val="22"/>
        </w:rPr>
        <w:t> </w:t>
      </w:r>
      <w:r>
        <w:rPr>
          <w:b/>
          <w:w w:val="105"/>
          <w:sz w:val="22"/>
        </w:rPr>
        <w:t>Giudiziali:</w:t>
      </w:r>
      <w:r>
        <w:rPr>
          <w:b/>
          <w:spacing w:val="-24"/>
          <w:w w:val="105"/>
          <w:sz w:val="22"/>
        </w:rPr>
        <w:t> </w:t>
      </w:r>
      <w:r>
        <w:rPr>
          <w:b/>
          <w:w w:val="105"/>
          <w:sz w:val="22"/>
        </w:rPr>
        <w:t>dr.</w:t>
      </w:r>
      <w:r>
        <w:rPr>
          <w:b/>
          <w:spacing w:val="-23"/>
          <w:w w:val="105"/>
          <w:sz w:val="22"/>
        </w:rPr>
        <w:t> </w:t>
      </w:r>
      <w:r>
        <w:rPr>
          <w:b/>
          <w:w w:val="105"/>
          <w:sz w:val="22"/>
        </w:rPr>
        <w:t>Piero</w:t>
      </w:r>
      <w:r>
        <w:rPr>
          <w:b/>
          <w:spacing w:val="-23"/>
          <w:w w:val="105"/>
          <w:sz w:val="22"/>
        </w:rPr>
        <w:t> </w:t>
      </w:r>
      <w:r>
        <w:rPr>
          <w:b/>
          <w:w w:val="105"/>
          <w:sz w:val="22"/>
        </w:rPr>
        <w:t>Canevelli,</w:t>
      </w:r>
      <w:r>
        <w:rPr>
          <w:b/>
          <w:spacing w:val="-23"/>
          <w:w w:val="105"/>
          <w:sz w:val="22"/>
        </w:rPr>
        <w:t> </w:t>
      </w:r>
      <w:r>
        <w:rPr>
          <w:b/>
          <w:w w:val="105"/>
          <w:sz w:val="22"/>
        </w:rPr>
        <w:t>dr.</w:t>
      </w:r>
      <w:r>
        <w:rPr>
          <w:b/>
          <w:spacing w:val="-24"/>
          <w:w w:val="105"/>
          <w:sz w:val="22"/>
        </w:rPr>
        <w:t> </w:t>
      </w:r>
      <w:r>
        <w:rPr>
          <w:b/>
          <w:w w:val="105"/>
          <w:sz w:val="22"/>
        </w:rPr>
        <w:t>Claudio</w:t>
      </w:r>
      <w:r>
        <w:rPr>
          <w:b/>
          <w:spacing w:val="-23"/>
          <w:w w:val="105"/>
          <w:sz w:val="22"/>
        </w:rPr>
        <w:t> </w:t>
      </w:r>
      <w:r>
        <w:rPr>
          <w:b/>
          <w:w w:val="105"/>
          <w:sz w:val="22"/>
        </w:rPr>
        <w:t>Ferrario,</w:t>
      </w:r>
      <w:r>
        <w:rPr>
          <w:b/>
          <w:spacing w:val="-24"/>
          <w:w w:val="105"/>
          <w:sz w:val="22"/>
        </w:rPr>
        <w:t> </w:t>
      </w:r>
      <w:r>
        <w:rPr>
          <w:b/>
          <w:w w:val="105"/>
          <w:sz w:val="22"/>
        </w:rPr>
        <w:t>dr.</w:t>
      </w:r>
    </w:p>
    <w:p>
      <w:pPr>
        <w:spacing w:line="245" w:lineRule="exact" w:before="0"/>
        <w:ind w:left="394" w:right="2234" w:firstLine="0"/>
        <w:jc w:val="center"/>
        <w:rPr>
          <w:b/>
          <w:sz w:val="22"/>
        </w:rPr>
      </w:pPr>
      <w:r>
        <w:rPr>
          <w:b/>
          <w:sz w:val="22"/>
        </w:rPr>
        <w:t>Silvano Cremonesi</w:t>
      </w:r>
    </w:p>
    <w:p>
      <w:pPr>
        <w:pStyle w:val="BodyText"/>
        <w:spacing w:before="1"/>
        <w:rPr>
          <w:b/>
          <w:sz w:val="23"/>
        </w:rPr>
      </w:pPr>
    </w:p>
    <w:p>
      <w:pPr>
        <w:pStyle w:val="BodyText"/>
        <w:spacing w:before="1"/>
        <w:ind w:left="397" w:right="2233"/>
        <w:jc w:val="center"/>
      </w:pPr>
      <w:r>
        <w:rPr>
          <w:w w:val="105"/>
        </w:rPr>
        <w:t>* * *</w:t>
      </w:r>
    </w:p>
    <w:p>
      <w:pPr>
        <w:pStyle w:val="BodyText"/>
        <w:spacing w:before="2"/>
        <w:rPr>
          <w:sz w:val="23"/>
        </w:rPr>
      </w:pPr>
    </w:p>
    <w:p>
      <w:pPr>
        <w:spacing w:before="0"/>
        <w:ind w:left="263" w:right="2234" w:firstLine="0"/>
        <w:jc w:val="center"/>
        <w:rPr>
          <w:b/>
          <w:sz w:val="18"/>
        </w:rPr>
      </w:pPr>
      <w:r>
        <w:rPr>
          <w:b/>
          <w:sz w:val="22"/>
        </w:rPr>
        <w:t>M</w:t>
      </w:r>
      <w:r>
        <w:rPr>
          <w:b/>
          <w:sz w:val="18"/>
        </w:rPr>
        <w:t>EMORIA DI DEPOSITO PIANO E PROPOSTA</w:t>
      </w:r>
    </w:p>
    <w:p>
      <w:pPr>
        <w:pStyle w:val="BodyText"/>
        <w:rPr>
          <w:b/>
          <w:sz w:val="23"/>
        </w:rPr>
      </w:pPr>
    </w:p>
    <w:p>
      <w:pPr>
        <w:spacing w:line="491" w:lineRule="auto" w:before="0"/>
        <w:ind w:left="2299" w:right="2413" w:hanging="1785"/>
        <w:jc w:val="left"/>
        <w:rPr>
          <w:b/>
          <w:sz w:val="22"/>
        </w:rPr>
      </w:pPr>
      <w:r>
        <w:rPr>
          <w:b/>
          <w:sz w:val="18"/>
        </w:rPr>
        <w:t>AI SENSI DELL</w:t>
      </w:r>
      <w:r>
        <w:rPr>
          <w:b/>
          <w:sz w:val="22"/>
        </w:rPr>
        <w:t>’</w:t>
      </w:r>
      <w:r>
        <w:rPr>
          <w:b/>
          <w:sz w:val="18"/>
        </w:rPr>
        <w:t>ART</w:t>
      </w:r>
      <w:r>
        <w:rPr>
          <w:b/>
          <w:sz w:val="22"/>
        </w:rPr>
        <w:t>. 161 </w:t>
      </w:r>
      <w:r>
        <w:rPr>
          <w:b/>
          <w:sz w:val="18"/>
        </w:rPr>
        <w:t>LEGGE FALL</w:t>
      </w:r>
      <w:r>
        <w:rPr>
          <w:b/>
          <w:sz w:val="22"/>
        </w:rPr>
        <w:t>., </w:t>
      </w:r>
      <w:r>
        <w:rPr>
          <w:b/>
          <w:sz w:val="18"/>
        </w:rPr>
        <w:t>CON CONTESTUALI ISTANZE EX ARTT</w:t>
      </w:r>
      <w:r>
        <w:rPr>
          <w:b/>
          <w:sz w:val="22"/>
        </w:rPr>
        <w:t>. 163</w:t>
      </w:r>
      <w:r>
        <w:rPr>
          <w:b/>
          <w:sz w:val="18"/>
        </w:rPr>
        <w:t>BIS E </w:t>
      </w:r>
      <w:r>
        <w:rPr>
          <w:b/>
          <w:sz w:val="22"/>
        </w:rPr>
        <w:t>167 </w:t>
      </w:r>
      <w:r>
        <w:rPr>
          <w:b/>
          <w:sz w:val="18"/>
        </w:rPr>
        <w:t>LEGGE FALL</w:t>
      </w:r>
      <w:r>
        <w:rPr>
          <w:b/>
          <w:sz w:val="22"/>
        </w:rPr>
        <w:t>.</w:t>
      </w:r>
    </w:p>
    <w:p>
      <w:pPr>
        <w:pStyle w:val="BodyText"/>
        <w:ind w:left="397" w:right="2233"/>
        <w:jc w:val="center"/>
      </w:pPr>
      <w:r>
        <w:rPr>
          <w:w w:val="105"/>
        </w:rPr>
        <w:t>* * *</w:t>
      </w:r>
    </w:p>
    <w:p>
      <w:pPr>
        <w:pStyle w:val="BodyText"/>
        <w:rPr>
          <w:sz w:val="23"/>
        </w:rPr>
      </w:pPr>
    </w:p>
    <w:p>
      <w:pPr>
        <w:spacing w:before="0"/>
        <w:ind w:left="397" w:right="2234" w:firstLine="0"/>
        <w:jc w:val="center"/>
        <w:rPr>
          <w:sz w:val="22"/>
        </w:rPr>
      </w:pPr>
      <w:r>
        <w:rPr>
          <w:w w:val="105"/>
          <w:sz w:val="22"/>
        </w:rPr>
        <w:t>nell’interesse  della  società  </w:t>
      </w:r>
      <w:r>
        <w:rPr>
          <w:b/>
          <w:w w:val="105"/>
          <w:sz w:val="22"/>
          <w:u w:val="single"/>
        </w:rPr>
        <w:t>BIOCHEMTEX  S.P.A.</w:t>
      </w:r>
      <w:r>
        <w:rPr>
          <w:w w:val="105"/>
          <w:sz w:val="22"/>
        </w:rPr>
        <w:t>,  con  sede  legale  e</w:t>
      </w:r>
    </w:p>
    <w:p>
      <w:pPr>
        <w:pStyle w:val="BodyText"/>
        <w:spacing w:before="9"/>
        <w:rPr>
          <w:sz w:val="13"/>
        </w:rPr>
      </w:pPr>
    </w:p>
    <w:p>
      <w:pPr>
        <w:pStyle w:val="BodyText"/>
        <w:spacing w:before="105"/>
        <w:ind w:left="400"/>
        <w:jc w:val="both"/>
      </w:pPr>
      <w:r>
        <w:rPr>
          <w:w w:val="105"/>
        </w:rPr>
        <w:t>principale in Tortona (AL), Strada Ribrocca n. 11, Codice Fiscale e  Partita</w:t>
      </w:r>
    </w:p>
    <w:p>
      <w:pPr>
        <w:pStyle w:val="BodyText"/>
        <w:rPr>
          <w:sz w:val="23"/>
        </w:rPr>
      </w:pPr>
    </w:p>
    <w:p>
      <w:pPr>
        <w:pStyle w:val="BodyText"/>
        <w:spacing w:before="1"/>
        <w:ind w:left="400"/>
        <w:jc w:val="both"/>
      </w:pPr>
      <w:r>
        <w:rPr>
          <w:w w:val="105"/>
        </w:rPr>
        <w:t>I.V.A. n. 04740320967, iscritta al Registro Imprese di Alessandria, Numero</w:t>
      </w:r>
    </w:p>
    <w:p>
      <w:pPr>
        <w:pStyle w:val="BodyText"/>
        <w:spacing w:before="1"/>
        <w:rPr>
          <w:sz w:val="23"/>
        </w:rPr>
      </w:pPr>
    </w:p>
    <w:p>
      <w:pPr>
        <w:pStyle w:val="BodyText"/>
        <w:spacing w:line="491" w:lineRule="auto"/>
        <w:ind w:left="400" w:right="2234"/>
        <w:jc w:val="both"/>
      </w:pPr>
      <w:r>
        <w:rPr>
          <w:w w:val="105"/>
        </w:rPr>
        <w:t>R.E.A. – AL 224380, in persona del Presidente del Consiglio di Amministrazione, Amministratore Delegato e legale rappresentante </w:t>
      </w:r>
      <w:r>
        <w:rPr>
          <w:i/>
          <w:w w:val="105"/>
        </w:rPr>
        <w:t>pro </w:t>
      </w:r>
      <w:r>
        <w:rPr>
          <w:i/>
          <w:w w:val="105"/>
        </w:rPr>
        <w:t>tempore</w:t>
      </w:r>
      <w:r>
        <w:rPr>
          <w:w w:val="105"/>
        </w:rPr>
        <w:t>,</w:t>
      </w:r>
      <w:r>
        <w:rPr>
          <w:spacing w:val="-9"/>
          <w:w w:val="105"/>
        </w:rPr>
        <w:t> </w:t>
      </w:r>
      <w:r>
        <w:rPr>
          <w:w w:val="105"/>
        </w:rPr>
        <w:t>Ing.</w:t>
      </w:r>
      <w:r>
        <w:rPr>
          <w:spacing w:val="-9"/>
          <w:w w:val="105"/>
        </w:rPr>
        <w:t> </w:t>
      </w:r>
      <w:r>
        <w:rPr>
          <w:w w:val="105"/>
        </w:rPr>
        <w:t>Giovanni</w:t>
      </w:r>
      <w:r>
        <w:rPr>
          <w:spacing w:val="-9"/>
          <w:w w:val="105"/>
        </w:rPr>
        <w:t> </w:t>
      </w:r>
      <w:r>
        <w:rPr>
          <w:w w:val="105"/>
        </w:rPr>
        <w:t>Bolcheni,</w:t>
      </w:r>
      <w:r>
        <w:rPr>
          <w:spacing w:val="-9"/>
          <w:w w:val="105"/>
        </w:rPr>
        <w:t> </w:t>
      </w:r>
      <w:r>
        <w:rPr>
          <w:w w:val="105"/>
        </w:rPr>
        <w:t>nato</w:t>
      </w:r>
      <w:r>
        <w:rPr>
          <w:spacing w:val="-9"/>
          <w:w w:val="105"/>
        </w:rPr>
        <w:t> </w:t>
      </w:r>
      <w:r>
        <w:rPr>
          <w:w w:val="105"/>
        </w:rPr>
        <w:t>a</w:t>
      </w:r>
      <w:r>
        <w:rPr>
          <w:spacing w:val="-9"/>
          <w:w w:val="105"/>
        </w:rPr>
        <w:t> </w:t>
      </w:r>
      <w:r>
        <w:rPr>
          <w:w w:val="105"/>
        </w:rPr>
        <w:t>Spigno</w:t>
      </w:r>
      <w:r>
        <w:rPr>
          <w:spacing w:val="-9"/>
          <w:w w:val="105"/>
        </w:rPr>
        <w:t> </w:t>
      </w:r>
      <w:r>
        <w:rPr>
          <w:w w:val="105"/>
        </w:rPr>
        <w:t>Monferrato</w:t>
      </w:r>
      <w:r>
        <w:rPr>
          <w:spacing w:val="-10"/>
          <w:w w:val="105"/>
        </w:rPr>
        <w:t> </w:t>
      </w:r>
      <w:r>
        <w:rPr>
          <w:w w:val="105"/>
        </w:rPr>
        <w:t>(AL)</w:t>
      </w:r>
      <w:r>
        <w:rPr>
          <w:spacing w:val="-9"/>
          <w:w w:val="105"/>
        </w:rPr>
        <w:t> </w:t>
      </w:r>
      <w:r>
        <w:rPr>
          <w:w w:val="105"/>
        </w:rPr>
        <w:t>il</w:t>
      </w:r>
      <w:r>
        <w:rPr>
          <w:spacing w:val="-9"/>
          <w:w w:val="105"/>
        </w:rPr>
        <w:t> </w:t>
      </w:r>
      <w:r>
        <w:rPr>
          <w:w w:val="105"/>
        </w:rPr>
        <w:t>10</w:t>
      </w:r>
      <w:r>
        <w:rPr>
          <w:spacing w:val="-9"/>
          <w:w w:val="105"/>
        </w:rPr>
        <w:t> </w:t>
      </w:r>
      <w:r>
        <w:rPr>
          <w:w w:val="105"/>
        </w:rPr>
        <w:t>giugno 1944 (C.F. BLCGNN44H10I901M) e domiciliato in Tortona (AL), Via alle Fonti</w:t>
      </w:r>
      <w:r>
        <w:rPr>
          <w:spacing w:val="-14"/>
          <w:w w:val="105"/>
        </w:rPr>
        <w:t> </w:t>
      </w:r>
      <w:r>
        <w:rPr>
          <w:w w:val="105"/>
        </w:rPr>
        <w:t>n.</w:t>
      </w:r>
      <w:r>
        <w:rPr>
          <w:spacing w:val="-13"/>
          <w:w w:val="105"/>
        </w:rPr>
        <w:t> </w:t>
      </w:r>
      <w:r>
        <w:rPr>
          <w:w w:val="105"/>
        </w:rPr>
        <w:t>8,</w:t>
      </w:r>
      <w:r>
        <w:rPr>
          <w:spacing w:val="-13"/>
          <w:w w:val="105"/>
        </w:rPr>
        <w:t> </w:t>
      </w:r>
      <w:r>
        <w:rPr>
          <w:w w:val="105"/>
        </w:rPr>
        <w:t>rappresentata</w:t>
      </w:r>
      <w:r>
        <w:rPr>
          <w:spacing w:val="-12"/>
          <w:w w:val="105"/>
        </w:rPr>
        <w:t> </w:t>
      </w:r>
      <w:r>
        <w:rPr>
          <w:w w:val="105"/>
        </w:rPr>
        <w:t>e</w:t>
      </w:r>
      <w:r>
        <w:rPr>
          <w:spacing w:val="-13"/>
          <w:w w:val="105"/>
        </w:rPr>
        <w:t> </w:t>
      </w:r>
      <w:r>
        <w:rPr>
          <w:w w:val="105"/>
        </w:rPr>
        <w:t>difesa,</w:t>
      </w:r>
      <w:r>
        <w:rPr>
          <w:spacing w:val="-14"/>
          <w:w w:val="105"/>
        </w:rPr>
        <w:t> </w:t>
      </w:r>
      <w:r>
        <w:rPr>
          <w:w w:val="105"/>
        </w:rPr>
        <w:t>sia</w:t>
      </w:r>
      <w:r>
        <w:rPr>
          <w:spacing w:val="-13"/>
          <w:w w:val="105"/>
        </w:rPr>
        <w:t> </w:t>
      </w:r>
      <w:r>
        <w:rPr>
          <w:w w:val="105"/>
        </w:rPr>
        <w:t>congiuntamente</w:t>
      </w:r>
      <w:r>
        <w:rPr>
          <w:spacing w:val="-13"/>
          <w:w w:val="105"/>
        </w:rPr>
        <w:t> </w:t>
      </w:r>
      <w:r>
        <w:rPr>
          <w:w w:val="105"/>
        </w:rPr>
        <w:t>che</w:t>
      </w:r>
      <w:r>
        <w:rPr>
          <w:spacing w:val="-14"/>
          <w:w w:val="105"/>
        </w:rPr>
        <w:t> </w:t>
      </w:r>
      <w:r>
        <w:rPr>
          <w:w w:val="105"/>
        </w:rPr>
        <w:t>disgiuntamente</w:t>
      </w:r>
      <w:r>
        <w:rPr>
          <w:spacing w:val="-13"/>
          <w:w w:val="105"/>
        </w:rPr>
        <w:t> </w:t>
      </w:r>
      <w:r>
        <w:rPr>
          <w:w w:val="105"/>
        </w:rPr>
        <w:t>tra loro, per delega in calce al presente ricorso, dall’Avv. Alberto Nanni (C.F. NNNLRT55D28F205E, P.E.C. comunicata al Consiglio dell’Ordine </w:t>
      </w:r>
      <w:r>
        <w:rPr>
          <w:spacing w:val="42"/>
          <w:w w:val="105"/>
        </w:rPr>
        <w:t> </w:t>
      </w:r>
      <w:r>
        <w:rPr>
          <w:w w:val="105"/>
        </w:rPr>
        <w:t>degli</w:t>
      </w:r>
    </w:p>
    <w:p>
      <w:pPr>
        <w:spacing w:after="0" w:line="491" w:lineRule="auto"/>
        <w:jc w:val="both"/>
        <w:sectPr>
          <w:footerReference w:type="default" r:id="rId5"/>
          <w:type w:val="continuous"/>
          <w:pgSz w:w="12240" w:h="15840"/>
          <w:pgMar w:footer="790" w:top="1220" w:bottom="980" w:left="1720" w:right="1160"/>
          <w:pgNumType w:start="1"/>
        </w:sectPr>
      </w:pPr>
    </w:p>
    <w:p>
      <w:pPr>
        <w:pStyle w:val="BodyText"/>
        <w:spacing w:line="491" w:lineRule="auto" w:before="105"/>
        <w:ind w:left="400" w:right="2196"/>
        <w:jc w:val="both"/>
      </w:pPr>
      <w:r>
        <w:rPr>
          <w:w w:val="105"/>
        </w:rPr>
        <w:t>Avvocati di Milano: </w:t>
      </w:r>
      <w:r>
        <w:rPr>
          <w:color w:val="0000FF"/>
          <w:w w:val="105"/>
          <w:u w:val="single" w:color="0000FF"/>
        </w:rPr>
        <w:t>alberto.nanni@pec.gop.it</w:t>
      </w:r>
      <w:r>
        <w:rPr>
          <w:w w:val="105"/>
        </w:rPr>
        <w:t>), dall’Avv. Gabriella Covino (C.F. CVNGRL68A41A783B, P.E.C. comunicata al Consiglio dell’Ordine degli</w:t>
      </w:r>
      <w:r>
        <w:rPr>
          <w:spacing w:val="-10"/>
          <w:w w:val="105"/>
        </w:rPr>
        <w:t> </w:t>
      </w:r>
      <w:r>
        <w:rPr>
          <w:w w:val="105"/>
        </w:rPr>
        <w:t>Avvocati</w:t>
      </w:r>
      <w:r>
        <w:rPr>
          <w:spacing w:val="-11"/>
          <w:w w:val="105"/>
        </w:rPr>
        <w:t> </w:t>
      </w:r>
      <w:r>
        <w:rPr>
          <w:w w:val="105"/>
        </w:rPr>
        <w:t>di</w:t>
      </w:r>
      <w:r>
        <w:rPr>
          <w:spacing w:val="-11"/>
          <w:w w:val="105"/>
        </w:rPr>
        <w:t> </w:t>
      </w:r>
      <w:r>
        <w:rPr>
          <w:w w:val="105"/>
        </w:rPr>
        <w:t>Roma</w:t>
      </w:r>
      <w:r>
        <w:rPr>
          <w:spacing w:val="-11"/>
          <w:w w:val="105"/>
        </w:rPr>
        <w:t> </w:t>
      </w:r>
      <w:r>
        <w:rPr>
          <w:color w:val="0000FF"/>
          <w:w w:val="105"/>
          <w:u w:val="single" w:color="0000FF"/>
        </w:rPr>
        <w:t>gabriella.covino@pec.gop.it</w:t>
      </w:r>
      <w:r>
        <w:rPr>
          <w:w w:val="105"/>
        </w:rPr>
        <w:t>),</w:t>
      </w:r>
      <w:r>
        <w:rPr>
          <w:spacing w:val="-11"/>
          <w:w w:val="105"/>
        </w:rPr>
        <w:t> </w:t>
      </w:r>
      <w:r>
        <w:rPr>
          <w:w w:val="105"/>
        </w:rPr>
        <w:t>dall’Avv.</w:t>
      </w:r>
      <w:r>
        <w:rPr>
          <w:spacing w:val="-11"/>
          <w:w w:val="105"/>
        </w:rPr>
        <w:t> </w:t>
      </w:r>
      <w:r>
        <w:rPr>
          <w:w w:val="105"/>
        </w:rPr>
        <w:t>Luca</w:t>
      </w:r>
      <w:r>
        <w:rPr>
          <w:spacing w:val="-11"/>
          <w:w w:val="105"/>
        </w:rPr>
        <w:t> </w:t>
      </w:r>
      <w:r>
        <w:rPr>
          <w:w w:val="105"/>
        </w:rPr>
        <w:t>Jeantet (C.F. JNTLCU76A06L219F, P.E.C. comunicata al Consiglio dell’Ordine degli</w:t>
      </w:r>
      <w:r>
        <w:rPr>
          <w:spacing w:val="-30"/>
          <w:w w:val="105"/>
        </w:rPr>
        <w:t> </w:t>
      </w:r>
      <w:r>
        <w:rPr>
          <w:w w:val="105"/>
        </w:rPr>
        <w:t>Avvocati</w:t>
      </w:r>
      <w:r>
        <w:rPr>
          <w:spacing w:val="-29"/>
          <w:w w:val="105"/>
        </w:rPr>
        <w:t> </w:t>
      </w:r>
      <w:r>
        <w:rPr>
          <w:w w:val="105"/>
        </w:rPr>
        <w:t>di</w:t>
      </w:r>
      <w:r>
        <w:rPr>
          <w:spacing w:val="-30"/>
          <w:w w:val="105"/>
        </w:rPr>
        <w:t> </w:t>
      </w:r>
      <w:r>
        <w:rPr>
          <w:w w:val="105"/>
        </w:rPr>
        <w:t>Torino:</w:t>
      </w:r>
      <w:r>
        <w:rPr>
          <w:spacing w:val="-30"/>
          <w:w w:val="105"/>
        </w:rPr>
        <w:t> </w:t>
      </w:r>
      <w:r>
        <w:rPr>
          <w:color w:val="0000FF"/>
          <w:w w:val="105"/>
          <w:u w:val="single" w:color="0000FF"/>
        </w:rPr>
        <w:t>lucajeantet@pec.ordineavvocatitorino.it</w:t>
      </w:r>
      <w:r>
        <w:rPr>
          <w:w w:val="105"/>
        </w:rPr>
        <w:t>),</w:t>
      </w:r>
      <w:r>
        <w:rPr>
          <w:spacing w:val="-30"/>
          <w:w w:val="105"/>
        </w:rPr>
        <w:t> </w:t>
      </w:r>
      <w:r>
        <w:rPr>
          <w:w w:val="105"/>
        </w:rPr>
        <w:t>dall’Avv.</w:t>
      </w:r>
    </w:p>
    <w:p>
      <w:pPr>
        <w:pStyle w:val="BodyText"/>
        <w:spacing w:line="491" w:lineRule="auto" w:before="1"/>
        <w:ind w:left="400" w:right="2200"/>
      </w:pPr>
      <w:r>
        <w:rPr>
          <w:w w:val="105"/>
        </w:rPr>
        <w:t>Daniela Amhof (C.F. MHFDNL82H43A952W, P.E.C. comunicata al Consiglio</w:t>
      </w:r>
      <w:r>
        <w:rPr>
          <w:spacing w:val="-24"/>
          <w:w w:val="105"/>
        </w:rPr>
        <w:t> </w:t>
      </w:r>
      <w:r>
        <w:rPr>
          <w:w w:val="105"/>
        </w:rPr>
        <w:t>dell’Ordine</w:t>
      </w:r>
      <w:r>
        <w:rPr>
          <w:spacing w:val="-23"/>
          <w:w w:val="105"/>
        </w:rPr>
        <w:t> </w:t>
      </w:r>
      <w:r>
        <w:rPr>
          <w:w w:val="105"/>
        </w:rPr>
        <w:t>degli</w:t>
      </w:r>
      <w:r>
        <w:rPr>
          <w:spacing w:val="-23"/>
          <w:w w:val="105"/>
        </w:rPr>
        <w:t> </w:t>
      </w:r>
      <w:r>
        <w:rPr>
          <w:w w:val="105"/>
        </w:rPr>
        <w:t>Avvocati</w:t>
      </w:r>
      <w:r>
        <w:rPr>
          <w:spacing w:val="-23"/>
          <w:w w:val="105"/>
        </w:rPr>
        <w:t> </w:t>
      </w:r>
      <w:r>
        <w:rPr>
          <w:w w:val="105"/>
        </w:rPr>
        <w:t>di</w:t>
      </w:r>
      <w:r>
        <w:rPr>
          <w:spacing w:val="-24"/>
          <w:w w:val="105"/>
        </w:rPr>
        <w:t> </w:t>
      </w:r>
      <w:r>
        <w:rPr>
          <w:w w:val="105"/>
        </w:rPr>
        <w:t>Milano:</w:t>
      </w:r>
      <w:r>
        <w:rPr>
          <w:spacing w:val="-24"/>
          <w:w w:val="105"/>
        </w:rPr>
        <w:t> </w:t>
      </w:r>
      <w:r>
        <w:rPr>
          <w:color w:val="0000FF"/>
          <w:w w:val="105"/>
          <w:u w:val="single" w:color="0000FF"/>
        </w:rPr>
        <w:t>daniela.amhof@pec.gop.it</w:t>
      </w:r>
      <w:r>
        <w:rPr>
          <w:w w:val="105"/>
        </w:rPr>
        <w:t>)</w:t>
      </w:r>
      <w:r>
        <w:rPr>
          <w:spacing w:val="-24"/>
          <w:w w:val="105"/>
        </w:rPr>
        <w:t> </w:t>
      </w:r>
      <w:r>
        <w:rPr>
          <w:w w:val="105"/>
        </w:rPr>
        <w:t>e</w:t>
      </w:r>
    </w:p>
    <w:p>
      <w:pPr>
        <w:pStyle w:val="BodyText"/>
        <w:spacing w:line="491" w:lineRule="auto" w:before="1"/>
        <w:ind w:left="400" w:right="2195"/>
        <w:jc w:val="both"/>
      </w:pPr>
      <w:r>
        <w:rPr>
          <w:w w:val="105"/>
        </w:rPr>
        <w:t>dall’Avv. Luca Gastini (C.F. GSTLCU63C28A182K, P.E.C. comunicata al Consiglio dell’Ordine degli Avvocati di Alessandria: </w:t>
      </w:r>
      <w:r>
        <w:rPr>
          <w:color w:val="0000FF"/>
          <w:w w:val="105"/>
          <w:u w:val="single" w:color="0000FF"/>
        </w:rPr>
        <w:t>avvlucagastini@cnfpec.it</w:t>
      </w:r>
      <w:r>
        <w:rPr>
          <w:w w:val="105"/>
        </w:rPr>
        <w:t>),  elettivamente  domiciliata  ai  fini  del  presente</w:t>
      </w:r>
    </w:p>
    <w:p>
      <w:pPr>
        <w:pStyle w:val="BodyText"/>
        <w:spacing w:line="491" w:lineRule="auto" w:before="1"/>
        <w:ind w:left="400" w:right="2197"/>
        <w:jc w:val="both"/>
      </w:pPr>
      <w:r>
        <w:rPr>
          <w:w w:val="105"/>
        </w:rPr>
        <w:t>procedimento presso lo studio di quest’ultimo in Alessandria, Piazzetta S. Lucia</w:t>
      </w:r>
      <w:r>
        <w:rPr>
          <w:spacing w:val="-14"/>
          <w:w w:val="105"/>
        </w:rPr>
        <w:t> </w:t>
      </w:r>
      <w:r>
        <w:rPr>
          <w:w w:val="105"/>
        </w:rPr>
        <w:t>n.</w:t>
      </w:r>
      <w:r>
        <w:rPr>
          <w:spacing w:val="-14"/>
          <w:w w:val="105"/>
        </w:rPr>
        <w:t> </w:t>
      </w:r>
      <w:r>
        <w:rPr>
          <w:w w:val="105"/>
        </w:rPr>
        <w:t>1,</w:t>
      </w:r>
      <w:r>
        <w:rPr>
          <w:spacing w:val="-14"/>
          <w:w w:val="105"/>
        </w:rPr>
        <w:t> </w:t>
      </w:r>
      <w:r>
        <w:rPr>
          <w:w w:val="105"/>
        </w:rPr>
        <w:t>dichiarando</w:t>
      </w:r>
      <w:r>
        <w:rPr>
          <w:spacing w:val="-14"/>
          <w:w w:val="105"/>
        </w:rPr>
        <w:t> </w:t>
      </w:r>
      <w:r>
        <w:rPr>
          <w:w w:val="105"/>
        </w:rPr>
        <w:t>di</w:t>
      </w:r>
      <w:r>
        <w:rPr>
          <w:spacing w:val="-14"/>
          <w:w w:val="105"/>
        </w:rPr>
        <w:t> </w:t>
      </w:r>
      <w:r>
        <w:rPr>
          <w:w w:val="105"/>
        </w:rPr>
        <w:t>voler</w:t>
      </w:r>
      <w:r>
        <w:rPr>
          <w:spacing w:val="-14"/>
          <w:w w:val="105"/>
        </w:rPr>
        <w:t> </w:t>
      </w:r>
      <w:r>
        <w:rPr>
          <w:w w:val="105"/>
        </w:rPr>
        <w:t>ricevere</w:t>
      </w:r>
      <w:r>
        <w:rPr>
          <w:spacing w:val="-14"/>
          <w:w w:val="105"/>
        </w:rPr>
        <w:t> </w:t>
      </w:r>
      <w:r>
        <w:rPr>
          <w:w w:val="105"/>
        </w:rPr>
        <w:t>tutte</w:t>
      </w:r>
      <w:r>
        <w:rPr>
          <w:spacing w:val="-14"/>
          <w:w w:val="105"/>
        </w:rPr>
        <w:t> </w:t>
      </w:r>
      <w:r>
        <w:rPr>
          <w:w w:val="105"/>
        </w:rPr>
        <w:t>le</w:t>
      </w:r>
      <w:r>
        <w:rPr>
          <w:spacing w:val="-14"/>
          <w:w w:val="105"/>
        </w:rPr>
        <w:t> </w:t>
      </w:r>
      <w:r>
        <w:rPr>
          <w:w w:val="105"/>
        </w:rPr>
        <w:t>comunicazioni</w:t>
      </w:r>
      <w:r>
        <w:rPr>
          <w:spacing w:val="-13"/>
          <w:w w:val="105"/>
        </w:rPr>
        <w:t> </w:t>
      </w:r>
      <w:r>
        <w:rPr>
          <w:w w:val="105"/>
        </w:rPr>
        <w:t>di</w:t>
      </w:r>
      <w:r>
        <w:rPr>
          <w:spacing w:val="-14"/>
          <w:w w:val="105"/>
        </w:rPr>
        <w:t> </w:t>
      </w:r>
      <w:r>
        <w:rPr>
          <w:w w:val="105"/>
        </w:rPr>
        <w:t>Cancelleria ai sensi dell’art. 136 c.p.c. ed ai sensi dell’art. 51 d. l. n. 112/2008 presso la Casella</w:t>
      </w:r>
      <w:r>
        <w:rPr>
          <w:spacing w:val="-12"/>
          <w:w w:val="105"/>
        </w:rPr>
        <w:t> </w:t>
      </w:r>
      <w:r>
        <w:rPr>
          <w:w w:val="105"/>
        </w:rPr>
        <w:t>di</w:t>
      </w:r>
      <w:r>
        <w:rPr>
          <w:spacing w:val="-12"/>
          <w:w w:val="105"/>
        </w:rPr>
        <w:t> </w:t>
      </w:r>
      <w:r>
        <w:rPr>
          <w:w w:val="105"/>
        </w:rPr>
        <w:t>Posta</w:t>
      </w:r>
      <w:r>
        <w:rPr>
          <w:spacing w:val="-14"/>
          <w:w w:val="105"/>
        </w:rPr>
        <w:t> </w:t>
      </w:r>
      <w:r>
        <w:rPr>
          <w:w w:val="105"/>
        </w:rPr>
        <w:t>Elettronica</w:t>
      </w:r>
      <w:r>
        <w:rPr>
          <w:spacing w:val="-13"/>
          <w:w w:val="105"/>
        </w:rPr>
        <w:t> </w:t>
      </w:r>
      <w:r>
        <w:rPr>
          <w:w w:val="105"/>
        </w:rPr>
        <w:t>Certificata</w:t>
      </w:r>
      <w:r>
        <w:rPr>
          <w:spacing w:val="-12"/>
          <w:w w:val="105"/>
        </w:rPr>
        <w:t> </w:t>
      </w:r>
      <w:r>
        <w:rPr>
          <w:w w:val="105"/>
        </w:rPr>
        <w:t>del</w:t>
      </w:r>
      <w:r>
        <w:rPr>
          <w:spacing w:val="-12"/>
          <w:w w:val="105"/>
        </w:rPr>
        <w:t> </w:t>
      </w:r>
      <w:r>
        <w:rPr>
          <w:w w:val="105"/>
        </w:rPr>
        <w:t>Processo</w:t>
      </w:r>
      <w:r>
        <w:rPr>
          <w:spacing w:val="-14"/>
          <w:w w:val="105"/>
        </w:rPr>
        <w:t> </w:t>
      </w:r>
      <w:r>
        <w:rPr>
          <w:w w:val="105"/>
        </w:rPr>
        <w:t>Telematico</w:t>
      </w:r>
      <w:r>
        <w:rPr>
          <w:spacing w:val="-12"/>
          <w:w w:val="105"/>
        </w:rPr>
        <w:t> </w:t>
      </w:r>
      <w:r>
        <w:rPr>
          <w:w w:val="105"/>
        </w:rPr>
        <w:t>di</w:t>
      </w:r>
      <w:r>
        <w:rPr>
          <w:spacing w:val="-12"/>
          <w:w w:val="105"/>
        </w:rPr>
        <w:t> </w:t>
      </w:r>
      <w:r>
        <w:rPr>
          <w:w w:val="105"/>
        </w:rPr>
        <w:t>cui</w:t>
      </w:r>
      <w:r>
        <w:rPr>
          <w:spacing w:val="-12"/>
          <w:w w:val="105"/>
        </w:rPr>
        <w:t> </w:t>
      </w:r>
      <w:r>
        <w:rPr>
          <w:w w:val="105"/>
        </w:rPr>
        <w:t>all'art.</w:t>
      </w:r>
    </w:p>
    <w:p>
      <w:pPr>
        <w:pStyle w:val="BodyText"/>
        <w:tabs>
          <w:tab w:pos="3593" w:val="left" w:leader="none"/>
        </w:tabs>
        <w:spacing w:line="491" w:lineRule="auto"/>
        <w:ind w:left="400" w:right="2197"/>
        <w:jc w:val="both"/>
      </w:pPr>
      <w:r>
        <w:rPr>
          <w:w w:val="105"/>
        </w:rPr>
        <w:t>11 d.m. 17.7.2008 od agli indirizzi di P.E.C. </w:t>
      </w:r>
      <w:hyperlink r:id="rId6">
        <w:r>
          <w:rPr>
            <w:w w:val="105"/>
          </w:rPr>
          <w:t>alberto.nanni@pec.gop.it,</w:t>
        </w:r>
      </w:hyperlink>
      <w:r>
        <w:rPr>
          <w:w w:val="105"/>
        </w:rPr>
        <w:t> </w:t>
      </w:r>
      <w:hyperlink r:id="rId7">
        <w:r>
          <w:rPr>
            <w:color w:val="0000FF"/>
            <w:w w:val="105"/>
            <w:u w:val="single" w:color="0000FF"/>
          </w:rPr>
          <w:t>gabriella.covino@pec.gop.it</w:t>
        </w:r>
        <w:r>
          <w:rPr>
            <w:w w:val="105"/>
          </w:rPr>
          <w:t>,</w:t>
        </w:r>
      </w:hyperlink>
      <w:r>
        <w:rPr>
          <w:w w:val="105"/>
        </w:rPr>
        <w:tab/>
      </w:r>
      <w:hyperlink r:id="rId8">
        <w:r>
          <w:rPr>
            <w:color w:val="0000FF"/>
            <w:spacing w:val="-1"/>
            <w:u w:val="single" w:color="0000FF"/>
          </w:rPr>
          <w:t>lucajeantet@pec.ordineavvocatitorino.it</w:t>
        </w:r>
        <w:r>
          <w:rPr>
            <w:spacing w:val="-1"/>
          </w:rPr>
          <w:t>,</w:t>
        </w:r>
      </w:hyperlink>
      <w:r>
        <w:rPr>
          <w:spacing w:val="-1"/>
        </w:rPr>
        <w:t> </w:t>
      </w:r>
      <w:hyperlink r:id="rId9">
        <w:r>
          <w:rPr>
            <w:color w:val="0000FF"/>
            <w:w w:val="105"/>
            <w:u w:val="single" w:color="0000FF"/>
          </w:rPr>
          <w:t>daniela.amhof@pec.gop.it </w:t>
        </w:r>
      </w:hyperlink>
      <w:r>
        <w:rPr>
          <w:w w:val="105"/>
        </w:rPr>
        <w:t>e </w:t>
      </w:r>
      <w:hyperlink r:id="rId10">
        <w:r>
          <w:rPr>
            <w:color w:val="0000FF"/>
            <w:w w:val="105"/>
            <w:u w:val="single" w:color="0000FF"/>
          </w:rPr>
          <w:t>avvlucagastini@cnfpec.it</w:t>
        </w:r>
        <w:r>
          <w:rPr>
            <w:w w:val="105"/>
          </w:rPr>
          <w:t>,</w:t>
        </w:r>
      </w:hyperlink>
      <w:r>
        <w:rPr>
          <w:w w:val="105"/>
        </w:rPr>
        <w:t> comunicati ai sensi della</w:t>
      </w:r>
      <w:r>
        <w:rPr>
          <w:spacing w:val="-15"/>
          <w:w w:val="105"/>
        </w:rPr>
        <w:t> </w:t>
      </w:r>
      <w:r>
        <w:rPr>
          <w:w w:val="105"/>
        </w:rPr>
        <w:t>L.</w:t>
      </w:r>
      <w:r>
        <w:rPr>
          <w:spacing w:val="-15"/>
          <w:w w:val="105"/>
        </w:rPr>
        <w:t> </w:t>
      </w:r>
      <w:r>
        <w:rPr>
          <w:w w:val="105"/>
        </w:rPr>
        <w:t>2/2009,</w:t>
      </w:r>
      <w:r>
        <w:rPr>
          <w:spacing w:val="-15"/>
          <w:w w:val="105"/>
        </w:rPr>
        <w:t> </w:t>
      </w:r>
      <w:r>
        <w:rPr>
          <w:w w:val="105"/>
        </w:rPr>
        <w:t>od</w:t>
      </w:r>
      <w:r>
        <w:rPr>
          <w:spacing w:val="-15"/>
          <w:w w:val="105"/>
        </w:rPr>
        <w:t> </w:t>
      </w:r>
      <w:r>
        <w:rPr>
          <w:w w:val="105"/>
        </w:rPr>
        <w:t>al</w:t>
      </w:r>
      <w:r>
        <w:rPr>
          <w:spacing w:val="-15"/>
          <w:w w:val="105"/>
        </w:rPr>
        <w:t> </w:t>
      </w:r>
      <w:r>
        <w:rPr>
          <w:w w:val="105"/>
        </w:rPr>
        <w:t>numero</w:t>
      </w:r>
      <w:r>
        <w:rPr>
          <w:spacing w:val="-15"/>
          <w:w w:val="105"/>
        </w:rPr>
        <w:t> </w:t>
      </w:r>
      <w:r>
        <w:rPr>
          <w:w w:val="105"/>
        </w:rPr>
        <w:t>di</w:t>
      </w:r>
      <w:r>
        <w:rPr>
          <w:spacing w:val="-15"/>
          <w:w w:val="105"/>
        </w:rPr>
        <w:t> </w:t>
      </w:r>
      <w:r>
        <w:rPr>
          <w:i/>
          <w:w w:val="105"/>
        </w:rPr>
        <w:t>fax</w:t>
      </w:r>
      <w:r>
        <w:rPr>
          <w:i/>
          <w:spacing w:val="-15"/>
          <w:w w:val="105"/>
        </w:rPr>
        <w:t> </w:t>
      </w:r>
      <w:r>
        <w:rPr>
          <w:w w:val="105"/>
        </w:rPr>
        <w:t>02.76009628.</w:t>
      </w:r>
    </w:p>
    <w:p>
      <w:pPr>
        <w:pStyle w:val="BodyText"/>
        <w:spacing w:before="1"/>
        <w:ind w:left="476" w:right="2272"/>
        <w:jc w:val="center"/>
      </w:pPr>
      <w:r>
        <w:rPr>
          <w:w w:val="105"/>
        </w:rPr>
        <w:t>* * *</w:t>
      </w:r>
    </w:p>
    <w:p>
      <w:pPr>
        <w:pStyle w:val="BodyText"/>
        <w:spacing w:before="5"/>
        <w:ind w:left="476" w:right="2273"/>
        <w:jc w:val="center"/>
      </w:pPr>
      <w:r>
        <w:rPr>
          <w:w w:val="105"/>
        </w:rPr>
        <w:t>I N D I C E</w:t>
      </w:r>
    </w:p>
    <w:p>
      <w:pPr>
        <w:spacing w:after="0"/>
        <w:jc w:val="center"/>
        <w:sectPr>
          <w:pgSz w:w="12240" w:h="15840"/>
          <w:pgMar w:header="0" w:footer="790" w:top="1500" w:bottom="2253" w:left="1720" w:right="1200"/>
        </w:sectPr>
      </w:pPr>
    </w:p>
    <w:sdt>
      <w:sdtPr>
        <w:docPartObj>
          <w:docPartGallery w:val="Table of Contents"/>
          <w:docPartUnique/>
        </w:docPartObj>
      </w:sdtPr>
      <w:sdtEndPr/>
      <w:sdtContent>
        <w:p>
          <w:pPr>
            <w:pStyle w:val="TOC1"/>
            <w:tabs>
              <w:tab w:pos="7108" w:val="right" w:leader="dot"/>
            </w:tabs>
            <w:spacing w:before="260"/>
            <w:jc w:val="both"/>
          </w:pPr>
          <w:hyperlink w:history="true" w:anchor="_TOC_250051">
            <w:r>
              <w:rPr>
                <w:w w:val="105"/>
              </w:rPr>
              <w:t>CAPITOLO</w:t>
            </w:r>
            <w:r>
              <w:rPr>
                <w:spacing w:val="-2"/>
                <w:w w:val="105"/>
              </w:rPr>
              <w:t> </w:t>
            </w:r>
            <w:r>
              <w:rPr>
                <w:w w:val="105"/>
              </w:rPr>
              <w:t>1</w:t>
              <w:tab/>
              <w:t>15</w:t>
            </w:r>
          </w:hyperlink>
        </w:p>
        <w:p>
          <w:pPr>
            <w:pStyle w:val="TOC2"/>
            <w:tabs>
              <w:tab w:pos="7115" w:val="right" w:leader="dot"/>
            </w:tabs>
            <w:ind w:left="400" w:firstLine="0"/>
            <w:jc w:val="both"/>
          </w:pPr>
          <w:hyperlink w:history="true" w:anchor="_TOC_250050">
            <w:r>
              <w:rPr>
                <w:w w:val="105"/>
              </w:rPr>
              <w:t>Anagrafica, soci fondatori ed</w:t>
            </w:r>
            <w:r>
              <w:rPr>
                <w:spacing w:val="-16"/>
                <w:w w:val="105"/>
              </w:rPr>
              <w:t> </w:t>
            </w:r>
            <w:r>
              <w:rPr>
                <w:w w:val="105"/>
              </w:rPr>
              <w:t>oggetto</w:t>
            </w:r>
            <w:r>
              <w:rPr>
                <w:spacing w:val="-3"/>
                <w:w w:val="105"/>
              </w:rPr>
              <w:t> </w:t>
            </w:r>
            <w:r>
              <w:rPr>
                <w:w w:val="105"/>
              </w:rPr>
              <w:t>sociale</w:t>
              <w:tab/>
              <w:t>15</w:t>
            </w:r>
          </w:hyperlink>
        </w:p>
        <w:p>
          <w:pPr>
            <w:pStyle w:val="TOC1"/>
            <w:tabs>
              <w:tab w:pos="7108" w:val="right" w:leader="dot"/>
            </w:tabs>
            <w:spacing w:before="118"/>
            <w:jc w:val="both"/>
          </w:pPr>
          <w:hyperlink w:history="true" w:anchor="_TOC_250049">
            <w:r>
              <w:rPr>
                <w:w w:val="105"/>
              </w:rPr>
              <w:t>CAPITOLO</w:t>
            </w:r>
            <w:r>
              <w:rPr>
                <w:spacing w:val="-2"/>
                <w:w w:val="105"/>
              </w:rPr>
              <w:t> </w:t>
            </w:r>
            <w:r>
              <w:rPr>
                <w:w w:val="105"/>
              </w:rPr>
              <w:t>2</w:t>
              <w:tab/>
              <w:t>16</w:t>
            </w:r>
          </w:hyperlink>
        </w:p>
        <w:p>
          <w:pPr>
            <w:pStyle w:val="TOC2"/>
            <w:tabs>
              <w:tab w:pos="7116" w:val="right" w:leader="dot"/>
            </w:tabs>
            <w:spacing w:line="247" w:lineRule="auto"/>
            <w:ind w:left="400" w:right="2201" w:firstLine="0"/>
            <w:jc w:val="both"/>
          </w:pPr>
          <w:hyperlink w:history="true" w:anchor="_TOC_250048">
            <w:r>
              <w:rPr>
                <w:w w:val="105"/>
              </w:rPr>
              <w:t>Il capitale, la compagine sociale, l’amministrazione,  il  controllo  e  il personale</w:t>
            </w:r>
            <w:r>
              <w:rPr>
                <w:spacing w:val="-2"/>
                <w:w w:val="105"/>
              </w:rPr>
              <w:t> </w:t>
            </w:r>
            <w:r>
              <w:rPr>
                <w:w w:val="105"/>
              </w:rPr>
              <w:t>dipendente</w:t>
              <w:tab/>
              <w:t>16</w:t>
            </w:r>
          </w:hyperlink>
        </w:p>
        <w:p>
          <w:pPr>
            <w:pStyle w:val="TOC1"/>
            <w:tabs>
              <w:tab w:pos="7108" w:val="right" w:leader="dot"/>
            </w:tabs>
            <w:spacing w:before="112"/>
            <w:jc w:val="both"/>
          </w:pPr>
          <w:hyperlink w:history="true" w:anchor="_TOC_250047">
            <w:r>
              <w:rPr>
                <w:w w:val="105"/>
              </w:rPr>
              <w:t>CAPITOLO</w:t>
            </w:r>
            <w:r>
              <w:rPr>
                <w:spacing w:val="-2"/>
                <w:w w:val="105"/>
              </w:rPr>
              <w:t> </w:t>
            </w:r>
            <w:r>
              <w:rPr>
                <w:w w:val="105"/>
              </w:rPr>
              <w:t>3</w:t>
              <w:tab/>
              <w:t>18</w:t>
            </w:r>
          </w:hyperlink>
        </w:p>
        <w:p>
          <w:pPr>
            <w:pStyle w:val="TOC2"/>
            <w:tabs>
              <w:tab w:pos="7112" w:val="right" w:leader="dot"/>
            </w:tabs>
            <w:spacing w:before="105"/>
            <w:ind w:left="400" w:firstLine="0"/>
          </w:pPr>
          <w:hyperlink w:history="true" w:anchor="_TOC_250046">
            <w:r>
              <w:rPr>
                <w:w w:val="105"/>
              </w:rPr>
              <w:t>Dati</w:t>
            </w:r>
            <w:r>
              <w:rPr>
                <w:spacing w:val="-9"/>
                <w:w w:val="105"/>
              </w:rPr>
              <w:t> </w:t>
            </w:r>
            <w:r>
              <w:rPr>
                <w:w w:val="105"/>
              </w:rPr>
              <w:t>economici</w:t>
            </w:r>
            <w:r>
              <w:rPr>
                <w:spacing w:val="-11"/>
                <w:w w:val="105"/>
              </w:rPr>
              <w:t> </w:t>
            </w:r>
            <w:r>
              <w:rPr>
                <w:w w:val="105"/>
              </w:rPr>
              <w:t>e</w:t>
            </w:r>
            <w:r>
              <w:rPr>
                <w:spacing w:val="-9"/>
                <w:w w:val="105"/>
              </w:rPr>
              <w:t> </w:t>
            </w:r>
            <w:r>
              <w:rPr>
                <w:w w:val="105"/>
              </w:rPr>
              <w:t>patrimoniali</w:t>
            </w:r>
            <w:r>
              <w:rPr>
                <w:spacing w:val="-9"/>
                <w:w w:val="105"/>
              </w:rPr>
              <w:t> </w:t>
            </w:r>
            <w:r>
              <w:rPr>
                <w:w w:val="105"/>
              </w:rPr>
              <w:t>storici</w:t>
            </w:r>
            <w:r>
              <w:rPr>
                <w:spacing w:val="-10"/>
                <w:w w:val="105"/>
              </w:rPr>
              <w:t> </w:t>
            </w:r>
            <w:r>
              <w:rPr>
                <w:w w:val="105"/>
              </w:rPr>
              <w:t>e</w:t>
            </w:r>
            <w:r>
              <w:rPr>
                <w:spacing w:val="-9"/>
                <w:w w:val="105"/>
              </w:rPr>
              <w:t> </w:t>
            </w:r>
            <w:r>
              <w:rPr>
                <w:w w:val="105"/>
              </w:rPr>
              <w:t>l’esercizio</w:t>
            </w:r>
            <w:r>
              <w:rPr>
                <w:spacing w:val="-10"/>
                <w:w w:val="105"/>
              </w:rPr>
              <w:t> </w:t>
            </w:r>
            <w:r>
              <w:rPr>
                <w:w w:val="105"/>
              </w:rPr>
              <w:t>al</w:t>
            </w:r>
            <w:r>
              <w:rPr>
                <w:spacing w:val="-9"/>
                <w:w w:val="105"/>
              </w:rPr>
              <w:t> </w:t>
            </w:r>
            <w:r>
              <w:rPr>
                <w:w w:val="105"/>
              </w:rPr>
              <w:t>15</w:t>
            </w:r>
            <w:r>
              <w:rPr>
                <w:spacing w:val="-9"/>
                <w:w w:val="105"/>
              </w:rPr>
              <w:t> </w:t>
            </w:r>
            <w:r>
              <w:rPr>
                <w:w w:val="105"/>
              </w:rPr>
              <w:t>ottobre</w:t>
            </w:r>
            <w:r>
              <w:rPr>
                <w:spacing w:val="-9"/>
                <w:w w:val="105"/>
              </w:rPr>
              <w:t> </w:t>
            </w:r>
            <w:r>
              <w:rPr>
                <w:w w:val="105"/>
              </w:rPr>
              <w:t>2017</w:t>
              <w:tab/>
              <w:t>18</w:t>
            </w:r>
          </w:hyperlink>
        </w:p>
        <w:p>
          <w:pPr>
            <w:pStyle w:val="TOC2"/>
            <w:numPr>
              <w:ilvl w:val="1"/>
              <w:numId w:val="1"/>
            </w:numPr>
            <w:tabs>
              <w:tab w:pos="1066" w:val="left" w:leader="none"/>
              <w:tab w:pos="1067" w:val="left" w:leader="none"/>
            </w:tabs>
            <w:spacing w:line="240" w:lineRule="auto" w:before="119" w:after="0"/>
            <w:ind w:left="1066" w:right="0" w:hanging="666"/>
            <w:jc w:val="left"/>
          </w:pPr>
          <w:r>
            <w:rPr>
              <w:w w:val="105"/>
            </w:rPr>
            <w:t>L’andamento economico-patrimoniale per gli esercizi   </w:t>
          </w:r>
          <w:r>
            <w:rPr>
              <w:spacing w:val="18"/>
              <w:w w:val="105"/>
            </w:rPr>
            <w:t> </w:t>
          </w:r>
          <w:r>
            <w:rPr>
              <w:w w:val="105"/>
            </w:rPr>
            <w:t>2011-</w:t>
          </w:r>
        </w:p>
        <w:p>
          <w:pPr>
            <w:pStyle w:val="TOC3"/>
            <w:spacing w:before="5"/>
          </w:pPr>
          <w:r>
            <w:rPr/>
            <w:t>2016   ............................................................................................................18</w:t>
          </w:r>
        </w:p>
        <w:p>
          <w:pPr>
            <w:pStyle w:val="TOC2"/>
            <w:numPr>
              <w:ilvl w:val="1"/>
              <w:numId w:val="1"/>
            </w:numPr>
            <w:tabs>
              <w:tab w:pos="1067" w:val="left" w:leader="none"/>
              <w:tab w:pos="1068" w:val="left" w:leader="none"/>
              <w:tab w:pos="7113" w:val="right" w:leader="dot"/>
            </w:tabs>
            <w:spacing w:line="240" w:lineRule="auto" w:before="119" w:after="0"/>
            <w:ind w:left="1067" w:right="0" w:hanging="667"/>
            <w:jc w:val="left"/>
          </w:pPr>
          <w:hyperlink w:history="true" w:anchor="_TOC_250045">
            <w:r>
              <w:rPr>
                <w:w w:val="105"/>
              </w:rPr>
              <w:t>La situazione patrimoniale al 15</w:t>
            </w:r>
            <w:r>
              <w:rPr>
                <w:spacing w:val="-23"/>
                <w:w w:val="105"/>
              </w:rPr>
              <w:t> </w:t>
            </w:r>
            <w:r>
              <w:rPr>
                <w:w w:val="105"/>
              </w:rPr>
              <w:t>ottobre</w:t>
            </w:r>
            <w:r>
              <w:rPr>
                <w:spacing w:val="-4"/>
                <w:w w:val="105"/>
              </w:rPr>
              <w:t> </w:t>
            </w:r>
            <w:r>
              <w:rPr>
                <w:w w:val="105"/>
              </w:rPr>
              <w:t>2017</w:t>
              <w:tab/>
              <w:t>20</w:t>
            </w:r>
          </w:hyperlink>
        </w:p>
        <w:p>
          <w:pPr>
            <w:pStyle w:val="TOC1"/>
            <w:tabs>
              <w:tab w:pos="7107" w:val="right" w:leader="dot"/>
            </w:tabs>
          </w:pPr>
          <w:hyperlink w:history="true" w:anchor="_TOC_250044">
            <w:r>
              <w:rPr>
                <w:w w:val="105"/>
              </w:rPr>
              <w:t>CAPITOLO</w:t>
            </w:r>
            <w:r>
              <w:rPr>
                <w:spacing w:val="-2"/>
                <w:w w:val="105"/>
              </w:rPr>
              <w:t> </w:t>
            </w:r>
            <w:r>
              <w:rPr>
                <w:w w:val="105"/>
              </w:rPr>
              <w:t>4</w:t>
              <w:tab/>
              <w:t>22</w:t>
            </w:r>
          </w:hyperlink>
        </w:p>
        <w:p>
          <w:pPr>
            <w:pStyle w:val="TOC2"/>
            <w:numPr>
              <w:ilvl w:val="1"/>
              <w:numId w:val="2"/>
            </w:numPr>
            <w:tabs>
              <w:tab w:pos="1067" w:val="left" w:leader="none"/>
              <w:tab w:pos="1068" w:val="left" w:leader="none"/>
              <w:tab w:pos="7116" w:val="right" w:leader="dot"/>
            </w:tabs>
            <w:spacing w:line="240" w:lineRule="auto" w:before="119" w:after="0"/>
            <w:ind w:left="1067" w:right="0" w:hanging="667"/>
            <w:jc w:val="left"/>
          </w:pPr>
          <w:hyperlink w:history="true" w:anchor="_TOC_250043">
            <w:r>
              <w:rPr>
                <w:w w:val="105"/>
              </w:rPr>
              <w:t>La storia</w:t>
            </w:r>
            <w:r>
              <w:rPr>
                <w:spacing w:val="-7"/>
                <w:w w:val="105"/>
              </w:rPr>
              <w:t> </w:t>
            </w:r>
            <w:r>
              <w:rPr>
                <w:w w:val="105"/>
              </w:rPr>
              <w:t>della</w:t>
            </w:r>
            <w:r>
              <w:rPr>
                <w:spacing w:val="-3"/>
                <w:w w:val="105"/>
              </w:rPr>
              <w:t> </w:t>
            </w:r>
            <w:r>
              <w:rPr>
                <w:w w:val="105"/>
              </w:rPr>
              <w:t>Società</w:t>
              <w:tab/>
              <w:t>22</w:t>
            </w:r>
          </w:hyperlink>
        </w:p>
        <w:p>
          <w:pPr>
            <w:pStyle w:val="TOC2"/>
            <w:numPr>
              <w:ilvl w:val="2"/>
              <w:numId w:val="2"/>
            </w:numPr>
            <w:tabs>
              <w:tab w:pos="1067" w:val="left" w:leader="none"/>
              <w:tab w:pos="1068" w:val="left" w:leader="none"/>
              <w:tab w:pos="7118" w:val="right" w:leader="dot"/>
            </w:tabs>
            <w:spacing w:line="240" w:lineRule="auto" w:before="118" w:after="0"/>
            <w:ind w:left="1067" w:right="0" w:hanging="667"/>
            <w:jc w:val="left"/>
          </w:pPr>
          <w:hyperlink w:history="true" w:anchor="_TOC_250042">
            <w:r>
              <w:rPr>
                <w:w w:val="105"/>
              </w:rPr>
              <w:t>Premessa</w:t>
              <w:tab/>
              <w:t>22</w:t>
            </w:r>
          </w:hyperlink>
        </w:p>
        <w:p>
          <w:pPr>
            <w:pStyle w:val="TOC2"/>
            <w:numPr>
              <w:ilvl w:val="2"/>
              <w:numId w:val="2"/>
            </w:numPr>
            <w:tabs>
              <w:tab w:pos="1067" w:val="left" w:leader="none"/>
            </w:tabs>
            <w:spacing w:line="247" w:lineRule="auto" w:before="119" w:after="0"/>
            <w:ind w:left="1067" w:right="2727" w:hanging="667"/>
            <w:jc w:val="both"/>
          </w:pPr>
          <w:r>
            <w:rPr>
              <w:w w:val="105"/>
            </w:rPr>
            <w:t>L’attività di ricerca e sviluppo della tecnologia per la produzione di etanolo di c.d. ”seconda generazione” e la fase di   costruzione   dell’impianto   dimostrativo   di</w:t>
          </w:r>
          <w:r>
            <w:rPr>
              <w:spacing w:val="-4"/>
              <w:w w:val="105"/>
            </w:rPr>
            <w:t> </w:t>
          </w:r>
          <w:r>
            <w:rPr>
              <w:w w:val="105"/>
            </w:rPr>
            <w:t>Crescentino</w:t>
          </w:r>
        </w:p>
        <w:p>
          <w:pPr>
            <w:pStyle w:val="TOC3"/>
            <w:tabs>
              <w:tab w:pos="7116" w:val="right" w:leader="dot"/>
            </w:tabs>
            <w:spacing w:line="246" w:lineRule="exact"/>
          </w:pPr>
          <w:r>
            <w:rPr>
              <w:w w:val="105"/>
            </w:rPr>
            <w:t>affidata</w:t>
          </w:r>
          <w:r>
            <w:rPr>
              <w:spacing w:val="-4"/>
              <w:w w:val="105"/>
            </w:rPr>
            <w:t> </w:t>
          </w:r>
          <w:r>
            <w:rPr>
              <w:w w:val="105"/>
            </w:rPr>
            <w:t>a</w:t>
          </w:r>
          <w:r>
            <w:rPr>
              <w:spacing w:val="-3"/>
              <w:w w:val="105"/>
            </w:rPr>
            <w:t> </w:t>
          </w:r>
          <w:r>
            <w:rPr>
              <w:w w:val="105"/>
            </w:rPr>
            <w:t>Biochemtex</w:t>
            <w:tab/>
            <w:t>28</w:t>
          </w:r>
        </w:p>
        <w:p>
          <w:pPr>
            <w:pStyle w:val="TOC2"/>
            <w:numPr>
              <w:ilvl w:val="1"/>
              <w:numId w:val="2"/>
            </w:numPr>
            <w:tabs>
              <w:tab w:pos="1067" w:val="left" w:leader="none"/>
              <w:tab w:pos="1068" w:val="left" w:leader="none"/>
              <w:tab w:pos="7112" w:val="right" w:leader="dot"/>
            </w:tabs>
            <w:spacing w:line="240" w:lineRule="auto" w:before="120" w:after="0"/>
            <w:ind w:left="1067" w:right="0" w:hanging="667"/>
            <w:jc w:val="left"/>
          </w:pPr>
          <w:hyperlink w:history="true" w:anchor="_TOC_250041">
            <w:r>
              <w:rPr>
                <w:w w:val="105"/>
              </w:rPr>
              <w:t>I</w:t>
            </w:r>
            <w:r>
              <w:rPr>
                <w:spacing w:val="-9"/>
                <w:w w:val="105"/>
              </w:rPr>
              <w:t> </w:t>
            </w:r>
            <w:r>
              <w:rPr>
                <w:w w:val="105"/>
              </w:rPr>
              <w:t>principali</w:t>
            </w:r>
            <w:r>
              <w:rPr>
                <w:spacing w:val="-9"/>
                <w:w w:val="105"/>
              </w:rPr>
              <w:t> </w:t>
            </w:r>
            <w:r>
              <w:rPr>
                <w:w w:val="105"/>
              </w:rPr>
              <w:t>accadimenti</w:t>
            </w:r>
            <w:r>
              <w:rPr>
                <w:spacing w:val="-8"/>
                <w:w w:val="105"/>
              </w:rPr>
              <w:t> </w:t>
            </w:r>
            <w:r>
              <w:rPr>
                <w:w w:val="105"/>
              </w:rPr>
              <w:t>sociali</w:t>
            </w:r>
            <w:r>
              <w:rPr>
                <w:spacing w:val="-9"/>
                <w:w w:val="105"/>
              </w:rPr>
              <w:t> </w:t>
            </w:r>
            <w:r>
              <w:rPr>
                <w:w w:val="105"/>
              </w:rPr>
              <w:t>a</w:t>
            </w:r>
            <w:r>
              <w:rPr>
                <w:spacing w:val="-9"/>
                <w:w w:val="105"/>
              </w:rPr>
              <w:t> </w:t>
            </w:r>
            <w:r>
              <w:rPr>
                <w:w w:val="105"/>
              </w:rPr>
              <w:t>partire</w:t>
            </w:r>
            <w:r>
              <w:rPr>
                <w:spacing w:val="-9"/>
                <w:w w:val="105"/>
              </w:rPr>
              <w:t> </w:t>
            </w:r>
            <w:r>
              <w:rPr>
                <w:w w:val="105"/>
              </w:rPr>
              <w:t>dall’esercizio</w:t>
            </w:r>
            <w:r>
              <w:rPr>
                <w:spacing w:val="-10"/>
                <w:w w:val="105"/>
              </w:rPr>
              <w:t> </w:t>
            </w:r>
            <w:r>
              <w:rPr>
                <w:w w:val="105"/>
              </w:rPr>
              <w:t>2013</w:t>
              <w:tab/>
              <w:t>29</w:t>
            </w:r>
          </w:hyperlink>
        </w:p>
        <w:p>
          <w:pPr>
            <w:pStyle w:val="TOC2"/>
            <w:numPr>
              <w:ilvl w:val="2"/>
              <w:numId w:val="2"/>
            </w:numPr>
            <w:tabs>
              <w:tab w:pos="1067" w:val="left" w:leader="none"/>
              <w:tab w:pos="1068" w:val="left" w:leader="none"/>
              <w:tab w:pos="7117" w:val="right" w:leader="dot"/>
            </w:tabs>
            <w:spacing w:line="240" w:lineRule="auto" w:before="119" w:after="0"/>
            <w:ind w:left="1067" w:right="0" w:hanging="667"/>
            <w:jc w:val="left"/>
          </w:pPr>
          <w:hyperlink w:history="true" w:anchor="_TOC_250040">
            <w:r>
              <w:rPr>
                <w:w w:val="105"/>
              </w:rPr>
              <w:t>Esercizio</w:t>
            </w:r>
            <w:r>
              <w:rPr>
                <w:spacing w:val="-3"/>
                <w:w w:val="105"/>
              </w:rPr>
              <w:t> </w:t>
            </w:r>
            <w:r>
              <w:rPr>
                <w:w w:val="105"/>
              </w:rPr>
              <w:t>2013</w:t>
              <w:tab/>
              <w:t>29</w:t>
            </w:r>
          </w:hyperlink>
        </w:p>
        <w:p>
          <w:pPr>
            <w:pStyle w:val="TOC2"/>
            <w:numPr>
              <w:ilvl w:val="2"/>
              <w:numId w:val="2"/>
            </w:numPr>
            <w:tabs>
              <w:tab w:pos="1067" w:val="left" w:leader="none"/>
              <w:tab w:pos="1068" w:val="left" w:leader="none"/>
              <w:tab w:pos="7117" w:val="right" w:leader="dot"/>
            </w:tabs>
            <w:spacing w:line="240" w:lineRule="auto" w:before="119" w:after="0"/>
            <w:ind w:left="1067" w:right="0" w:hanging="667"/>
            <w:jc w:val="left"/>
          </w:pPr>
          <w:hyperlink w:history="true" w:anchor="_TOC_250039">
            <w:r>
              <w:rPr>
                <w:w w:val="105"/>
              </w:rPr>
              <w:t>Esercizio</w:t>
            </w:r>
            <w:r>
              <w:rPr>
                <w:spacing w:val="-3"/>
                <w:w w:val="105"/>
              </w:rPr>
              <w:t> </w:t>
            </w:r>
            <w:r>
              <w:rPr>
                <w:w w:val="105"/>
              </w:rPr>
              <w:t>2014</w:t>
              <w:tab/>
              <w:t>31</w:t>
            </w:r>
          </w:hyperlink>
        </w:p>
        <w:p>
          <w:pPr>
            <w:pStyle w:val="TOC2"/>
            <w:numPr>
              <w:ilvl w:val="2"/>
              <w:numId w:val="2"/>
            </w:numPr>
            <w:tabs>
              <w:tab w:pos="1067" w:val="left" w:leader="none"/>
              <w:tab w:pos="1068" w:val="left" w:leader="none"/>
              <w:tab w:pos="7117" w:val="right" w:leader="dot"/>
            </w:tabs>
            <w:spacing w:line="240" w:lineRule="auto" w:before="118" w:after="0"/>
            <w:ind w:left="1067" w:right="0" w:hanging="667"/>
            <w:jc w:val="left"/>
          </w:pPr>
          <w:hyperlink w:history="true" w:anchor="_TOC_250038">
            <w:r>
              <w:rPr>
                <w:w w:val="105"/>
              </w:rPr>
              <w:t>Esercizio</w:t>
            </w:r>
            <w:r>
              <w:rPr>
                <w:spacing w:val="-3"/>
                <w:w w:val="105"/>
              </w:rPr>
              <w:t> </w:t>
            </w:r>
            <w:r>
              <w:rPr>
                <w:w w:val="105"/>
              </w:rPr>
              <w:t>2015</w:t>
              <w:tab/>
              <w:t>33</w:t>
            </w:r>
          </w:hyperlink>
        </w:p>
        <w:p>
          <w:pPr>
            <w:pStyle w:val="TOC2"/>
            <w:numPr>
              <w:ilvl w:val="2"/>
              <w:numId w:val="2"/>
            </w:numPr>
            <w:tabs>
              <w:tab w:pos="1067" w:val="left" w:leader="none"/>
              <w:tab w:pos="1068" w:val="left" w:leader="none"/>
              <w:tab w:pos="7117" w:val="right" w:leader="dot"/>
            </w:tabs>
            <w:spacing w:line="240" w:lineRule="auto" w:before="119" w:after="0"/>
            <w:ind w:left="1067" w:right="0" w:hanging="667"/>
            <w:jc w:val="left"/>
          </w:pPr>
          <w:hyperlink w:history="true" w:anchor="_TOC_250037">
            <w:r>
              <w:rPr>
                <w:w w:val="105"/>
              </w:rPr>
              <w:t>Esercizio</w:t>
            </w:r>
            <w:r>
              <w:rPr>
                <w:spacing w:val="-3"/>
                <w:w w:val="105"/>
              </w:rPr>
              <w:t> </w:t>
            </w:r>
            <w:r>
              <w:rPr>
                <w:w w:val="105"/>
              </w:rPr>
              <w:t>2016</w:t>
              <w:tab/>
              <w:t>35</w:t>
            </w:r>
          </w:hyperlink>
        </w:p>
        <w:p>
          <w:pPr>
            <w:pStyle w:val="TOC2"/>
            <w:numPr>
              <w:ilvl w:val="2"/>
              <w:numId w:val="2"/>
            </w:numPr>
            <w:tabs>
              <w:tab w:pos="1067" w:val="left" w:leader="none"/>
              <w:tab w:pos="1068" w:val="left" w:leader="none"/>
              <w:tab w:pos="7117" w:val="right" w:leader="dot"/>
            </w:tabs>
            <w:spacing w:line="240" w:lineRule="auto" w:before="119" w:after="0"/>
            <w:ind w:left="1067" w:right="0" w:hanging="667"/>
            <w:jc w:val="left"/>
          </w:pPr>
          <w:hyperlink w:history="true" w:anchor="_TOC_250036">
            <w:r>
              <w:rPr>
                <w:w w:val="105"/>
              </w:rPr>
              <w:t>Esercizio</w:t>
            </w:r>
            <w:r>
              <w:rPr>
                <w:spacing w:val="-3"/>
                <w:w w:val="105"/>
              </w:rPr>
              <w:t> </w:t>
            </w:r>
            <w:r>
              <w:rPr>
                <w:w w:val="105"/>
              </w:rPr>
              <w:t>2017</w:t>
              <w:tab/>
              <w:t>36</w:t>
            </w:r>
          </w:hyperlink>
        </w:p>
        <w:p>
          <w:pPr>
            <w:pStyle w:val="TOC2"/>
            <w:numPr>
              <w:ilvl w:val="1"/>
              <w:numId w:val="2"/>
            </w:numPr>
            <w:tabs>
              <w:tab w:pos="1067" w:val="left" w:leader="none"/>
              <w:tab w:pos="1068" w:val="left" w:leader="none"/>
              <w:tab w:pos="7116" w:val="right" w:leader="dot"/>
            </w:tabs>
            <w:spacing w:line="240" w:lineRule="auto" w:before="119" w:after="0"/>
            <w:ind w:left="1067" w:right="0" w:hanging="667"/>
            <w:jc w:val="left"/>
          </w:pPr>
          <w:hyperlink w:history="true" w:anchor="_TOC_250035">
            <w:r>
              <w:rPr>
                <w:w w:val="105"/>
              </w:rPr>
              <w:t>Le ragioni</w:t>
            </w:r>
            <w:r>
              <w:rPr>
                <w:spacing w:val="-5"/>
                <w:w w:val="105"/>
              </w:rPr>
              <w:t> </w:t>
            </w:r>
            <w:r>
              <w:rPr>
                <w:w w:val="105"/>
              </w:rPr>
              <w:t>della</w:t>
            </w:r>
            <w:r>
              <w:rPr>
                <w:spacing w:val="-3"/>
                <w:w w:val="105"/>
              </w:rPr>
              <w:t> </w:t>
            </w:r>
            <w:r>
              <w:rPr>
                <w:w w:val="105"/>
              </w:rPr>
              <w:t>crisi</w:t>
              <w:tab/>
              <w:t>37</w:t>
            </w:r>
          </w:hyperlink>
        </w:p>
        <w:p>
          <w:pPr>
            <w:pStyle w:val="TOC1"/>
            <w:tabs>
              <w:tab w:pos="7107" w:val="right" w:leader="dot"/>
            </w:tabs>
            <w:spacing w:before="118"/>
          </w:pPr>
          <w:hyperlink w:history="true" w:anchor="_TOC_250034">
            <w:r>
              <w:rPr>
                <w:w w:val="105"/>
              </w:rPr>
              <w:t>CAPITOLO</w:t>
            </w:r>
            <w:r>
              <w:rPr>
                <w:spacing w:val="-2"/>
                <w:w w:val="105"/>
              </w:rPr>
              <w:t> </w:t>
            </w:r>
            <w:r>
              <w:rPr>
                <w:w w:val="105"/>
              </w:rPr>
              <w:t>5</w:t>
              <w:tab/>
              <w:t>40</w:t>
            </w:r>
          </w:hyperlink>
        </w:p>
        <w:p>
          <w:pPr>
            <w:pStyle w:val="TOC2"/>
            <w:tabs>
              <w:tab w:pos="7117" w:val="right" w:leader="dot"/>
            </w:tabs>
            <w:spacing w:line="247" w:lineRule="auto"/>
            <w:ind w:left="400" w:right="2200" w:firstLine="0"/>
          </w:pPr>
          <w:hyperlink w:history="true" w:anchor="_TOC_250033">
            <w:r>
              <w:rPr>
                <w:w w:val="105"/>
              </w:rPr>
              <w:t>Le azioni intraprese dalla Società per la conservazione del  valore dell’azienda</w:t>
              <w:tab/>
              <w:t>40</w:t>
            </w:r>
          </w:hyperlink>
        </w:p>
        <w:p>
          <w:pPr>
            <w:pStyle w:val="TOC2"/>
            <w:tabs>
              <w:tab w:pos="1068" w:val="left" w:leader="none"/>
              <w:tab w:pos="7113" w:val="right" w:leader="dot"/>
            </w:tabs>
            <w:spacing w:line="244" w:lineRule="auto" w:before="112"/>
            <w:ind w:right="2204" w:hanging="668"/>
          </w:pPr>
          <w:r>
            <w:rPr>
              <w:w w:val="105"/>
            </w:rPr>
            <w:t>5.1</w:t>
            <w:tab/>
            <w:tab/>
            <w:t>L’Offerta  Versalis,  la  conseguente  valutazione   </w:t>
          </w:r>
          <w:r>
            <w:rPr>
              <w:spacing w:val="3"/>
              <w:w w:val="105"/>
            </w:rPr>
            <w:t> </w:t>
          </w:r>
          <w:r>
            <w:rPr>
              <w:w w:val="105"/>
            </w:rPr>
            <w:t>del </w:t>
          </w:r>
          <w:r>
            <w:rPr>
              <w:spacing w:val="22"/>
              <w:w w:val="105"/>
            </w:rPr>
            <w:t> </w:t>
          </w:r>
          <w:r>
            <w:rPr>
              <w:w w:val="105"/>
            </w:rPr>
            <w:t>Ramo</w:t>
          </w:r>
          <w:r>
            <w:rPr>
              <w:spacing w:val="-1"/>
              <w:w w:val="102"/>
            </w:rPr>
            <w:t> </w:t>
          </w:r>
          <w:r>
            <w:rPr>
              <w:w w:val="105"/>
            </w:rPr>
            <w:t>Biochemtex e l’Earn</w:t>
          </w:r>
          <w:r>
            <w:rPr>
              <w:spacing w:val="-11"/>
              <w:w w:val="105"/>
            </w:rPr>
            <w:t> </w:t>
          </w:r>
          <w:r>
            <w:rPr>
              <w:w w:val="105"/>
            </w:rPr>
            <w:t>Out</w:t>
          </w:r>
          <w:r>
            <w:rPr>
              <w:spacing w:val="-3"/>
              <w:w w:val="105"/>
            </w:rPr>
            <w:t> </w:t>
          </w:r>
          <w:r>
            <w:rPr>
              <w:w w:val="105"/>
            </w:rPr>
            <w:t>Versalis</w:t>
            <w:tab/>
            <w:t>40</w:t>
          </w:r>
        </w:p>
        <w:p>
          <w:pPr>
            <w:pStyle w:val="TOC2"/>
            <w:tabs>
              <w:tab w:pos="1067" w:val="left" w:leader="none"/>
              <w:tab w:pos="7116" w:val="right" w:leader="dot"/>
            </w:tabs>
            <w:spacing w:before="115"/>
            <w:ind w:left="400" w:firstLine="0"/>
          </w:pPr>
          <w:hyperlink w:history="true" w:anchor="_TOC_250032">
            <w:r>
              <w:rPr>
                <w:w w:val="105"/>
              </w:rPr>
              <w:t>5.5</w:t>
              <w:tab/>
              <w:t>Il</w:t>
            </w:r>
            <w:r>
              <w:rPr>
                <w:spacing w:val="-3"/>
                <w:w w:val="105"/>
              </w:rPr>
              <w:t> </w:t>
            </w:r>
            <w:r>
              <w:rPr>
                <w:w w:val="105"/>
              </w:rPr>
              <w:t>contenzioso</w:t>
            </w:r>
            <w:r>
              <w:rPr>
                <w:spacing w:val="-3"/>
                <w:w w:val="105"/>
              </w:rPr>
              <w:t> </w:t>
            </w:r>
            <w:r>
              <w:rPr>
                <w:w w:val="105"/>
              </w:rPr>
              <w:t>Andritz</w:t>
              <w:tab/>
              <w:t>44</w:t>
            </w:r>
          </w:hyperlink>
        </w:p>
        <w:p>
          <w:pPr>
            <w:pStyle w:val="TOC1"/>
            <w:tabs>
              <w:tab w:pos="7107" w:val="right" w:leader="dot"/>
            </w:tabs>
            <w:spacing w:before="120"/>
          </w:pPr>
          <w:hyperlink w:history="true" w:anchor="_TOC_250031">
            <w:r>
              <w:rPr>
                <w:w w:val="105"/>
              </w:rPr>
              <w:t>CAPITOLO</w:t>
            </w:r>
            <w:r>
              <w:rPr>
                <w:spacing w:val="-2"/>
                <w:w w:val="105"/>
              </w:rPr>
              <w:t> </w:t>
            </w:r>
            <w:r>
              <w:rPr>
                <w:w w:val="105"/>
              </w:rPr>
              <w:t>6</w:t>
              <w:tab/>
              <w:t>50</w:t>
            </w:r>
          </w:hyperlink>
        </w:p>
        <w:p>
          <w:pPr>
            <w:pStyle w:val="TOC2"/>
            <w:spacing w:line="244" w:lineRule="auto" w:before="120"/>
            <w:ind w:left="400" w:right="2200" w:firstLine="0"/>
          </w:pPr>
          <w:r>
            <w:rPr>
              <w:w w:val="105"/>
            </w:rPr>
            <w:t>La aggiornata relazione sulla situazione patrimoniale, economica e finanziaria della Società e lo stato analitico estimativo delle attività  ai</w:t>
          </w:r>
        </w:p>
        <w:p>
          <w:pPr>
            <w:pStyle w:val="TOC2"/>
            <w:tabs>
              <w:tab w:pos="7115" w:val="right" w:leader="dot"/>
            </w:tabs>
            <w:spacing w:before="2"/>
            <w:ind w:left="400" w:firstLine="0"/>
          </w:pPr>
          <w:r>
            <w:rPr>
              <w:w w:val="105"/>
            </w:rPr>
            <w:t>sensi dell’art. 161, comma 2, lettera a),</w:t>
          </w:r>
          <w:r>
            <w:rPr>
              <w:spacing w:val="-30"/>
              <w:w w:val="105"/>
            </w:rPr>
            <w:t> </w:t>
          </w:r>
          <w:r>
            <w:rPr>
              <w:w w:val="105"/>
            </w:rPr>
            <w:t>legge</w:t>
          </w:r>
          <w:r>
            <w:rPr>
              <w:spacing w:val="-4"/>
              <w:w w:val="105"/>
            </w:rPr>
            <w:t> </w:t>
          </w:r>
          <w:r>
            <w:rPr>
              <w:w w:val="105"/>
            </w:rPr>
            <w:t>fall</w:t>
            <w:tab/>
            <w:t>50</w:t>
          </w:r>
        </w:p>
        <w:p>
          <w:pPr>
            <w:pStyle w:val="TOC1"/>
            <w:tabs>
              <w:tab w:pos="7106" w:val="right" w:leader="dot"/>
            </w:tabs>
          </w:pPr>
          <w:hyperlink w:history="true" w:anchor="_TOC_250030">
            <w:r>
              <w:rPr>
                <w:w w:val="105"/>
              </w:rPr>
              <w:t>CAPITOLO</w:t>
            </w:r>
            <w:r>
              <w:rPr>
                <w:spacing w:val="-2"/>
                <w:w w:val="105"/>
              </w:rPr>
              <w:t> </w:t>
            </w:r>
            <w:r>
              <w:rPr>
                <w:w w:val="105"/>
              </w:rPr>
              <w:t>7</w:t>
              <w:tab/>
              <w:t>51</w:t>
            </w:r>
          </w:hyperlink>
        </w:p>
        <w:p>
          <w:pPr>
            <w:pStyle w:val="TOC2"/>
            <w:tabs>
              <w:tab w:pos="7117" w:val="right" w:leader="dot"/>
            </w:tabs>
            <w:spacing w:line="247" w:lineRule="auto"/>
            <w:ind w:left="400" w:right="2200" w:firstLine="0"/>
          </w:pPr>
          <w:hyperlink w:history="true" w:anchor="_TOC_250029">
            <w:r>
              <w:rPr>
                <w:w w:val="105"/>
              </w:rPr>
              <w:t>Elenco nominativo dei creditori e dei crediti, delle relative cause di prelazione e dei titolari dei diritti reali o personali ai sensi dell’art. 161, comma 2, lettere b) e c),</w:t>
            </w:r>
            <w:r>
              <w:rPr>
                <w:spacing w:val="-17"/>
                <w:w w:val="105"/>
              </w:rPr>
              <w:t> </w:t>
            </w:r>
            <w:r>
              <w:rPr>
                <w:w w:val="105"/>
              </w:rPr>
              <w:t>legge</w:t>
            </w:r>
            <w:r>
              <w:rPr>
                <w:spacing w:val="-3"/>
                <w:w w:val="105"/>
              </w:rPr>
              <w:t> </w:t>
            </w:r>
            <w:r>
              <w:rPr>
                <w:w w:val="105"/>
              </w:rPr>
              <w:t>fall.</w:t>
              <w:tab/>
              <w:t>51</w:t>
            </w:r>
          </w:hyperlink>
        </w:p>
        <w:p>
          <w:pPr>
            <w:pStyle w:val="TOC1"/>
            <w:tabs>
              <w:tab w:pos="7107" w:val="right" w:leader="dot"/>
            </w:tabs>
            <w:spacing w:before="112"/>
          </w:pPr>
          <w:hyperlink w:history="true" w:anchor="_TOC_250028">
            <w:r>
              <w:rPr>
                <w:w w:val="105"/>
              </w:rPr>
              <w:t>CAPITOLO</w:t>
            </w:r>
            <w:r>
              <w:rPr>
                <w:spacing w:val="-2"/>
                <w:w w:val="105"/>
              </w:rPr>
              <w:t> </w:t>
            </w:r>
            <w:r>
              <w:rPr>
                <w:w w:val="105"/>
              </w:rPr>
              <w:t>8</w:t>
              <w:tab/>
              <w:t>52</w:t>
            </w:r>
          </w:hyperlink>
        </w:p>
        <w:p>
          <w:pPr>
            <w:pStyle w:val="TOC2"/>
            <w:tabs>
              <w:tab w:pos="7112" w:val="right" w:leader="dot"/>
            </w:tabs>
            <w:ind w:left="400" w:firstLine="0"/>
          </w:pPr>
          <w:hyperlink w:history="true" w:anchor="_TOC_250027">
            <w:r>
              <w:rPr>
                <w:w w:val="105"/>
              </w:rPr>
              <w:t>La Proposta ed</w:t>
            </w:r>
            <w:r>
              <w:rPr>
                <w:spacing w:val="-9"/>
                <w:w w:val="105"/>
              </w:rPr>
              <w:t> </w:t>
            </w:r>
            <w:r>
              <w:rPr>
                <w:w w:val="105"/>
              </w:rPr>
              <w:t>il</w:t>
            </w:r>
            <w:r>
              <w:rPr>
                <w:spacing w:val="-3"/>
                <w:w w:val="105"/>
              </w:rPr>
              <w:t> </w:t>
            </w:r>
            <w:r>
              <w:rPr>
                <w:w w:val="105"/>
              </w:rPr>
              <w:t>Piano</w:t>
              <w:tab/>
              <w:t>52</w:t>
            </w:r>
          </w:hyperlink>
        </w:p>
        <w:p>
          <w:pPr>
            <w:pStyle w:val="TOC2"/>
            <w:numPr>
              <w:ilvl w:val="1"/>
              <w:numId w:val="3"/>
            </w:numPr>
            <w:tabs>
              <w:tab w:pos="1067" w:val="left" w:leader="none"/>
              <w:tab w:pos="1068" w:val="left" w:leader="none"/>
              <w:tab w:pos="7118" w:val="right" w:leader="dot"/>
            </w:tabs>
            <w:spacing w:line="240" w:lineRule="auto" w:before="118" w:after="0"/>
            <w:ind w:left="1067" w:right="0" w:hanging="667"/>
            <w:jc w:val="left"/>
          </w:pPr>
          <w:hyperlink w:history="true" w:anchor="_TOC_250026">
            <w:r>
              <w:rPr>
                <w:w w:val="105"/>
              </w:rPr>
              <w:t>Premessa</w:t>
              <w:tab/>
              <w:t>52</w:t>
            </w:r>
          </w:hyperlink>
        </w:p>
        <w:p>
          <w:pPr>
            <w:pStyle w:val="TOC2"/>
            <w:numPr>
              <w:ilvl w:val="1"/>
              <w:numId w:val="3"/>
            </w:numPr>
            <w:tabs>
              <w:tab w:pos="718" w:val="left" w:leader="none"/>
              <w:tab w:pos="7112" w:val="right" w:leader="dot"/>
            </w:tabs>
            <w:spacing w:line="240" w:lineRule="auto" w:before="119" w:after="0"/>
            <w:ind w:left="717" w:right="0" w:hanging="317"/>
            <w:jc w:val="left"/>
          </w:pPr>
          <w:hyperlink w:history="true" w:anchor="_TOC_250025">
            <w:r>
              <w:rPr>
                <w:w w:val="105"/>
              </w:rPr>
              <w:t>Considerazioni sulla Proposta e</w:t>
            </w:r>
            <w:r>
              <w:rPr>
                <w:spacing w:val="-14"/>
                <w:w w:val="105"/>
              </w:rPr>
              <w:t> </w:t>
            </w:r>
            <w:r>
              <w:rPr>
                <w:w w:val="105"/>
              </w:rPr>
              <w:t>sul</w:t>
            </w:r>
            <w:r>
              <w:rPr>
                <w:spacing w:val="-4"/>
                <w:w w:val="105"/>
              </w:rPr>
              <w:t> </w:t>
            </w:r>
            <w:r>
              <w:rPr>
                <w:w w:val="105"/>
              </w:rPr>
              <w:t>Piano</w:t>
              <w:tab/>
              <w:t>52</w:t>
            </w:r>
          </w:hyperlink>
        </w:p>
        <w:p>
          <w:pPr>
            <w:pStyle w:val="TOC2"/>
            <w:numPr>
              <w:ilvl w:val="1"/>
              <w:numId w:val="3"/>
            </w:numPr>
            <w:tabs>
              <w:tab w:pos="1066" w:val="left" w:leader="none"/>
              <w:tab w:pos="1068" w:val="left" w:leader="none"/>
              <w:tab w:pos="7112" w:val="right" w:leader="dot"/>
            </w:tabs>
            <w:spacing w:line="240" w:lineRule="auto" w:before="105" w:after="0"/>
            <w:ind w:left="1067" w:right="0" w:hanging="667"/>
            <w:jc w:val="left"/>
          </w:pPr>
          <w:hyperlink w:history="true" w:anchor="_TOC_250024">
            <w:r>
              <w:rPr>
                <w:w w:val="105"/>
              </w:rPr>
              <w:t>La Proposta: le modalità di attuazione</w:t>
            </w:r>
            <w:r>
              <w:rPr>
                <w:spacing w:val="-28"/>
                <w:w w:val="105"/>
              </w:rPr>
              <w:t> </w:t>
            </w:r>
            <w:r>
              <w:rPr>
                <w:w w:val="105"/>
              </w:rPr>
              <w:t>del</w:t>
            </w:r>
            <w:r>
              <w:rPr>
                <w:spacing w:val="-5"/>
                <w:w w:val="105"/>
              </w:rPr>
              <w:t> </w:t>
            </w:r>
            <w:r>
              <w:rPr>
                <w:w w:val="105"/>
              </w:rPr>
              <w:t>Piano</w:t>
              <w:tab/>
              <w:t>59</w:t>
            </w:r>
          </w:hyperlink>
        </w:p>
        <w:p>
          <w:pPr>
            <w:pStyle w:val="TOC2"/>
            <w:numPr>
              <w:ilvl w:val="1"/>
              <w:numId w:val="3"/>
            </w:numPr>
            <w:tabs>
              <w:tab w:pos="1068" w:val="left" w:leader="none"/>
              <w:tab w:pos="1069" w:val="left" w:leader="none"/>
              <w:tab w:pos="7114" w:val="right" w:leader="dot"/>
            </w:tabs>
            <w:spacing w:line="240" w:lineRule="auto" w:before="119" w:after="0"/>
            <w:ind w:left="1068" w:right="0" w:hanging="668"/>
            <w:jc w:val="left"/>
          </w:pPr>
          <w:hyperlink w:history="true" w:anchor="_TOC_250023">
            <w:r>
              <w:rPr>
                <w:w w:val="105"/>
              </w:rPr>
              <w:t>Segue: la cessione del</w:t>
            </w:r>
            <w:r>
              <w:rPr>
                <w:spacing w:val="-18"/>
                <w:w w:val="105"/>
              </w:rPr>
              <w:t> </w:t>
            </w:r>
            <w:r>
              <w:rPr>
                <w:w w:val="105"/>
              </w:rPr>
              <w:t>Ramo</w:t>
            </w:r>
            <w:r>
              <w:rPr>
                <w:spacing w:val="-4"/>
                <w:w w:val="105"/>
              </w:rPr>
              <w:t> </w:t>
            </w:r>
            <w:r>
              <w:rPr>
                <w:w w:val="105"/>
              </w:rPr>
              <w:t>Biochemtex</w:t>
              <w:tab/>
              <w:t>60</w:t>
            </w:r>
          </w:hyperlink>
        </w:p>
        <w:p>
          <w:pPr>
            <w:pStyle w:val="TOC2"/>
            <w:numPr>
              <w:ilvl w:val="1"/>
              <w:numId w:val="3"/>
            </w:numPr>
            <w:tabs>
              <w:tab w:pos="1066" w:val="left" w:leader="none"/>
              <w:tab w:pos="1068" w:val="left" w:leader="none"/>
              <w:tab w:pos="7112" w:val="right" w:leader="dot"/>
            </w:tabs>
            <w:spacing w:line="240" w:lineRule="auto" w:before="118" w:after="0"/>
            <w:ind w:left="1067" w:right="0" w:hanging="667"/>
            <w:jc w:val="left"/>
          </w:pPr>
          <w:hyperlink w:history="true" w:anchor="_TOC_250022">
            <w:r>
              <w:rPr>
                <w:w w:val="105"/>
              </w:rPr>
              <w:t>Segue:</w:t>
            </w:r>
            <w:r>
              <w:rPr>
                <w:spacing w:val="-8"/>
                <w:w w:val="105"/>
              </w:rPr>
              <w:t> </w:t>
            </w:r>
            <w:r>
              <w:rPr>
                <w:w w:val="105"/>
              </w:rPr>
              <w:t>l’Incasso</w:t>
            </w:r>
            <w:r>
              <w:rPr>
                <w:spacing w:val="-8"/>
                <w:w w:val="105"/>
              </w:rPr>
              <w:t> </w:t>
            </w:r>
            <w:r>
              <w:rPr>
                <w:w w:val="105"/>
              </w:rPr>
              <w:t>Crediti</w:t>
            </w:r>
            <w:r>
              <w:rPr>
                <w:spacing w:val="-9"/>
                <w:w w:val="105"/>
              </w:rPr>
              <w:t> </w:t>
            </w:r>
            <w:r>
              <w:rPr>
                <w:w w:val="105"/>
              </w:rPr>
              <w:t>e</w:t>
            </w:r>
            <w:r>
              <w:rPr>
                <w:spacing w:val="-9"/>
                <w:w w:val="105"/>
              </w:rPr>
              <w:t> </w:t>
            </w:r>
            <w:r>
              <w:rPr>
                <w:w w:val="105"/>
              </w:rPr>
              <w:t>la</w:t>
            </w:r>
            <w:r>
              <w:rPr>
                <w:spacing w:val="-8"/>
                <w:w w:val="105"/>
              </w:rPr>
              <w:t> </w:t>
            </w:r>
            <w:r>
              <w:rPr>
                <w:w w:val="105"/>
              </w:rPr>
              <w:t>realizzazione</w:t>
            </w:r>
            <w:r>
              <w:rPr>
                <w:spacing w:val="-8"/>
                <w:w w:val="105"/>
              </w:rPr>
              <w:t> </w:t>
            </w:r>
            <w:r>
              <w:rPr>
                <w:w w:val="105"/>
              </w:rPr>
              <w:t>degli</w:t>
            </w:r>
            <w:r>
              <w:rPr>
                <w:spacing w:val="-8"/>
                <w:w w:val="105"/>
              </w:rPr>
              <w:t> </w:t>
            </w:r>
            <w:r>
              <w:rPr>
                <w:w w:val="105"/>
              </w:rPr>
              <w:t>Altri</w:t>
            </w:r>
            <w:r>
              <w:rPr>
                <w:spacing w:val="-6"/>
                <w:w w:val="105"/>
              </w:rPr>
              <w:t> </w:t>
            </w:r>
            <w:r>
              <w:rPr>
                <w:w w:val="105"/>
              </w:rPr>
              <w:t>Attivi</w:t>
              <w:tab/>
              <w:t>60</w:t>
            </w:r>
          </w:hyperlink>
        </w:p>
        <w:p>
          <w:pPr>
            <w:pStyle w:val="TOC2"/>
            <w:numPr>
              <w:ilvl w:val="1"/>
              <w:numId w:val="3"/>
            </w:numPr>
            <w:tabs>
              <w:tab w:pos="1067" w:val="left" w:leader="none"/>
              <w:tab w:pos="1068" w:val="left" w:leader="none"/>
              <w:tab w:pos="7116" w:val="right" w:leader="dot"/>
            </w:tabs>
            <w:spacing w:line="240" w:lineRule="auto" w:before="119" w:after="0"/>
            <w:ind w:left="1067" w:right="0" w:hanging="667"/>
            <w:jc w:val="left"/>
          </w:pPr>
          <w:hyperlink w:history="true" w:anchor="_TOC_250021">
            <w:r>
              <w:rPr>
                <w:w w:val="105"/>
              </w:rPr>
              <w:t>Segue: il Piano</w:t>
            </w:r>
            <w:r>
              <w:rPr>
                <w:spacing w:val="-8"/>
                <w:w w:val="105"/>
              </w:rPr>
              <w:t> </w:t>
            </w:r>
            <w:r>
              <w:rPr>
                <w:w w:val="105"/>
              </w:rPr>
              <w:t>di</w:t>
            </w:r>
            <w:r>
              <w:rPr>
                <w:spacing w:val="-2"/>
                <w:w w:val="105"/>
              </w:rPr>
              <w:t> </w:t>
            </w:r>
            <w:r>
              <w:rPr>
                <w:w w:val="105"/>
              </w:rPr>
              <w:t>Cassa</w:t>
              <w:tab/>
              <w:t>61</w:t>
            </w:r>
          </w:hyperlink>
        </w:p>
        <w:p>
          <w:pPr>
            <w:pStyle w:val="TOC2"/>
            <w:numPr>
              <w:ilvl w:val="1"/>
              <w:numId w:val="3"/>
            </w:numPr>
            <w:tabs>
              <w:tab w:pos="1067" w:val="left" w:leader="none"/>
              <w:tab w:pos="1068" w:val="left" w:leader="none"/>
              <w:tab w:pos="7116" w:val="right" w:leader="dot"/>
            </w:tabs>
            <w:spacing w:line="240" w:lineRule="auto" w:before="119" w:after="0"/>
            <w:ind w:left="1067" w:right="0" w:hanging="667"/>
            <w:jc w:val="left"/>
          </w:pPr>
          <w:hyperlink w:history="true" w:anchor="_TOC_250020">
            <w:r>
              <w:rPr>
                <w:w w:val="105"/>
              </w:rPr>
              <w:t>Segue:</w:t>
            </w:r>
            <w:r>
              <w:rPr>
                <w:spacing w:val="-3"/>
                <w:w w:val="105"/>
              </w:rPr>
              <w:t> </w:t>
            </w:r>
            <w:r>
              <w:rPr>
                <w:w w:val="105"/>
              </w:rPr>
              <w:t>l’Impegno</w:t>
            </w:r>
            <w:r>
              <w:rPr>
                <w:spacing w:val="-3"/>
                <w:w w:val="105"/>
              </w:rPr>
              <w:t> </w:t>
            </w:r>
            <w:r>
              <w:rPr>
                <w:w w:val="105"/>
              </w:rPr>
              <w:t>Ghisolfi</w:t>
              <w:tab/>
              <w:t>62</w:t>
            </w:r>
          </w:hyperlink>
        </w:p>
        <w:p>
          <w:pPr>
            <w:pStyle w:val="TOC2"/>
            <w:numPr>
              <w:ilvl w:val="1"/>
              <w:numId w:val="3"/>
            </w:numPr>
            <w:tabs>
              <w:tab w:pos="1067" w:val="left" w:leader="none"/>
              <w:tab w:pos="1068" w:val="left" w:leader="none"/>
              <w:tab w:pos="7111" w:val="right" w:leader="dot"/>
            </w:tabs>
            <w:spacing w:line="240" w:lineRule="auto" w:before="119" w:after="0"/>
            <w:ind w:left="1067" w:right="0" w:hanging="667"/>
            <w:jc w:val="left"/>
          </w:pPr>
          <w:hyperlink w:history="true" w:anchor="_TOC_250019">
            <w:r>
              <w:rPr>
                <w:w w:val="105"/>
              </w:rPr>
              <w:t>Segue: la cessione</w:t>
            </w:r>
            <w:r>
              <w:rPr>
                <w:spacing w:val="-14"/>
                <w:w w:val="105"/>
              </w:rPr>
              <w:t> </w:t>
            </w:r>
            <w:r>
              <w:rPr>
                <w:w w:val="105"/>
              </w:rPr>
              <w:t>dell’Immobile</w:t>
            </w:r>
            <w:r>
              <w:rPr>
                <w:spacing w:val="-5"/>
                <w:w w:val="105"/>
              </w:rPr>
              <w:t> </w:t>
            </w:r>
            <w:r>
              <w:rPr>
                <w:w w:val="105"/>
              </w:rPr>
              <w:t>Modugno</w:t>
              <w:tab/>
              <w:t>66</w:t>
            </w:r>
          </w:hyperlink>
        </w:p>
        <w:p>
          <w:pPr>
            <w:pStyle w:val="TOC2"/>
            <w:numPr>
              <w:ilvl w:val="1"/>
              <w:numId w:val="3"/>
            </w:numPr>
            <w:tabs>
              <w:tab w:pos="1067" w:val="left" w:leader="none"/>
              <w:tab w:pos="1068" w:val="left" w:leader="none"/>
              <w:tab w:pos="1845" w:val="left" w:leader="none"/>
              <w:tab w:pos="2210" w:val="left" w:leader="none"/>
              <w:tab w:pos="3500" w:val="left" w:leader="none"/>
              <w:tab w:pos="7116" w:val="right" w:leader="dot"/>
            </w:tabs>
            <w:spacing w:line="244" w:lineRule="auto" w:before="119" w:after="0"/>
            <w:ind w:left="1067" w:right="2201" w:hanging="667"/>
            <w:jc w:val="left"/>
          </w:pPr>
          <w:r>
            <w:rPr>
              <w:w w:val="105"/>
            </w:rPr>
            <w:t>Segue:</w:t>
            <w:tab/>
            <w:t>la</w:t>
            <w:tab/>
            <w:t>Transazione</w:t>
            <w:tab/>
            <w:t>Granbio    e    la </w:t>
          </w:r>
          <w:r>
            <w:rPr>
              <w:spacing w:val="40"/>
              <w:w w:val="105"/>
            </w:rPr>
            <w:t> </w:t>
          </w:r>
          <w:r>
            <w:rPr>
              <w:w w:val="105"/>
            </w:rPr>
            <w:t>relativa  </w:t>
          </w:r>
          <w:r>
            <w:rPr>
              <w:spacing w:val="33"/>
              <w:w w:val="105"/>
            </w:rPr>
            <w:t> </w:t>
          </w:r>
          <w:r>
            <w:rPr>
              <w:w w:val="105"/>
            </w:rPr>
            <w:t>istanza</w:t>
          </w:r>
          <w:r>
            <w:rPr>
              <w:w w:val="102"/>
            </w:rPr>
            <w:t> </w:t>
          </w:r>
          <w:r>
            <w:rPr>
              <w:w w:val="105"/>
            </w:rPr>
            <w:t>autorizzativa ex art. 167</w:t>
          </w:r>
          <w:r>
            <w:rPr>
              <w:spacing w:val="-12"/>
              <w:w w:val="105"/>
            </w:rPr>
            <w:t> </w:t>
          </w:r>
          <w:r>
            <w:rPr>
              <w:w w:val="105"/>
            </w:rPr>
            <w:t>l.</w:t>
          </w:r>
          <w:r>
            <w:rPr>
              <w:spacing w:val="-3"/>
              <w:w w:val="105"/>
            </w:rPr>
            <w:t> </w:t>
          </w:r>
          <w:r>
            <w:rPr>
              <w:w w:val="105"/>
            </w:rPr>
            <w:t>fall</w:t>
            <w:tab/>
            <w:t>66</w:t>
          </w:r>
        </w:p>
        <w:p>
          <w:pPr>
            <w:pStyle w:val="TOC2"/>
            <w:numPr>
              <w:ilvl w:val="1"/>
              <w:numId w:val="3"/>
            </w:numPr>
            <w:tabs>
              <w:tab w:pos="1067" w:val="left" w:leader="none"/>
              <w:tab w:pos="1068" w:val="left" w:leader="none"/>
              <w:tab w:pos="7115" w:val="right" w:leader="dot"/>
            </w:tabs>
            <w:spacing w:line="240" w:lineRule="auto" w:before="114" w:after="0"/>
            <w:ind w:left="1067" w:right="0" w:hanging="667"/>
            <w:jc w:val="left"/>
          </w:pPr>
          <w:hyperlink w:history="true" w:anchor="_TOC_250018">
            <w:r>
              <w:rPr>
                <w:w w:val="105"/>
              </w:rPr>
              <w:t>Segue: la</w:t>
            </w:r>
            <w:r>
              <w:rPr>
                <w:spacing w:val="-7"/>
                <w:w w:val="105"/>
              </w:rPr>
              <w:t> </w:t>
            </w:r>
            <w:r>
              <w:rPr>
                <w:w w:val="105"/>
              </w:rPr>
              <w:t>Postergazione</w:t>
            </w:r>
            <w:r>
              <w:rPr>
                <w:spacing w:val="-7"/>
                <w:w w:val="105"/>
              </w:rPr>
              <w:t> </w:t>
            </w:r>
            <w:r>
              <w:rPr>
                <w:w w:val="105"/>
              </w:rPr>
              <w:t>Novozymes.</w:t>
              <w:tab/>
              <w:t>71</w:t>
            </w:r>
          </w:hyperlink>
        </w:p>
        <w:p>
          <w:pPr>
            <w:pStyle w:val="TOC2"/>
            <w:numPr>
              <w:ilvl w:val="1"/>
              <w:numId w:val="3"/>
            </w:numPr>
            <w:tabs>
              <w:tab w:pos="826" w:val="left" w:leader="none"/>
              <w:tab w:pos="7114" w:val="right" w:leader="dot"/>
            </w:tabs>
            <w:spacing w:line="240" w:lineRule="auto" w:before="119" w:after="0"/>
            <w:ind w:left="825" w:right="0" w:hanging="425"/>
            <w:jc w:val="left"/>
          </w:pPr>
          <w:hyperlink w:history="true" w:anchor="_TOC_250017">
            <w:r>
              <w:rPr>
                <w:w w:val="105"/>
              </w:rPr>
              <w:t>Segue: l’impegno</w:t>
            </w:r>
            <w:r>
              <w:rPr>
                <w:spacing w:val="-6"/>
                <w:w w:val="105"/>
              </w:rPr>
              <w:t> </w:t>
            </w:r>
            <w:r>
              <w:rPr>
                <w:w w:val="105"/>
              </w:rPr>
              <w:t>Eredi</w:t>
            </w:r>
            <w:r>
              <w:rPr>
                <w:spacing w:val="-4"/>
                <w:w w:val="105"/>
              </w:rPr>
              <w:t> </w:t>
            </w:r>
            <w:r>
              <w:rPr>
                <w:w w:val="105"/>
              </w:rPr>
              <w:t>Ghisolfi</w:t>
              <w:tab/>
              <w:t>72</w:t>
            </w:r>
          </w:hyperlink>
        </w:p>
        <w:p>
          <w:pPr>
            <w:pStyle w:val="TOC2"/>
            <w:numPr>
              <w:ilvl w:val="1"/>
              <w:numId w:val="3"/>
            </w:numPr>
            <w:tabs>
              <w:tab w:pos="1067" w:val="left" w:leader="none"/>
              <w:tab w:pos="1068" w:val="left" w:leader="none"/>
              <w:tab w:pos="7112" w:val="right" w:leader="dot"/>
            </w:tabs>
            <w:spacing w:line="240" w:lineRule="auto" w:before="119" w:after="0"/>
            <w:ind w:left="1067" w:right="0" w:hanging="667"/>
            <w:jc w:val="left"/>
          </w:pPr>
          <w:hyperlink w:history="true" w:anchor="_TOC_250016">
            <w:r>
              <w:rPr>
                <w:w w:val="105"/>
              </w:rPr>
              <w:t>Segue: la trasformazione della Società</w:t>
            </w:r>
            <w:r>
              <w:rPr>
                <w:spacing w:val="-23"/>
                <w:w w:val="105"/>
              </w:rPr>
              <w:t> </w:t>
            </w:r>
            <w:r>
              <w:rPr>
                <w:w w:val="105"/>
              </w:rPr>
              <w:t>in</w:t>
            </w:r>
            <w:r>
              <w:rPr>
                <w:spacing w:val="-5"/>
                <w:w w:val="105"/>
              </w:rPr>
              <w:t> </w:t>
            </w:r>
            <w:r>
              <w:rPr>
                <w:w w:val="105"/>
              </w:rPr>
              <w:t>S.r.l.</w:t>
              <w:tab/>
              <w:t>73</w:t>
            </w:r>
          </w:hyperlink>
        </w:p>
        <w:p>
          <w:pPr>
            <w:pStyle w:val="TOC2"/>
            <w:numPr>
              <w:ilvl w:val="1"/>
              <w:numId w:val="3"/>
            </w:numPr>
            <w:tabs>
              <w:tab w:pos="1067" w:val="left" w:leader="none"/>
              <w:tab w:pos="1068" w:val="left" w:leader="none"/>
              <w:tab w:pos="7116" w:val="right" w:leader="dot"/>
            </w:tabs>
            <w:spacing w:line="240" w:lineRule="auto" w:before="118" w:after="0"/>
            <w:ind w:left="1067" w:right="0" w:hanging="667"/>
            <w:jc w:val="left"/>
          </w:pPr>
          <w:hyperlink w:history="true" w:anchor="_TOC_250015">
            <w:r>
              <w:rPr>
                <w:w w:val="105"/>
              </w:rPr>
              <w:t>La suddivisione</w:t>
            </w:r>
            <w:r>
              <w:rPr>
                <w:spacing w:val="-6"/>
                <w:w w:val="105"/>
              </w:rPr>
              <w:t> </w:t>
            </w:r>
            <w:r>
              <w:rPr>
                <w:w w:val="105"/>
              </w:rPr>
              <w:t>in</w:t>
            </w:r>
            <w:r>
              <w:rPr>
                <w:spacing w:val="-3"/>
                <w:w w:val="105"/>
              </w:rPr>
              <w:t> </w:t>
            </w:r>
            <w:r>
              <w:rPr>
                <w:w w:val="105"/>
              </w:rPr>
              <w:t>classi</w:t>
              <w:tab/>
              <w:t>73</w:t>
            </w:r>
          </w:hyperlink>
        </w:p>
        <w:p>
          <w:pPr>
            <w:pStyle w:val="TOC2"/>
            <w:numPr>
              <w:ilvl w:val="1"/>
              <w:numId w:val="3"/>
            </w:numPr>
            <w:tabs>
              <w:tab w:pos="1067" w:val="left" w:leader="none"/>
              <w:tab w:pos="1068" w:val="left" w:leader="none"/>
              <w:tab w:pos="7114" w:val="right" w:leader="dot"/>
            </w:tabs>
            <w:spacing w:line="240" w:lineRule="auto" w:before="119" w:after="0"/>
            <w:ind w:left="1067" w:right="0" w:hanging="667"/>
            <w:jc w:val="left"/>
          </w:pPr>
          <w:hyperlink w:history="true" w:anchor="_TOC_250014">
            <w:r>
              <w:rPr>
                <w:w w:val="105"/>
              </w:rPr>
              <w:t>La prognosi di soddisfazione</w:t>
            </w:r>
            <w:r>
              <w:rPr>
                <w:spacing w:val="-16"/>
                <w:w w:val="105"/>
              </w:rPr>
              <w:t> </w:t>
            </w:r>
            <w:r>
              <w:rPr>
                <w:w w:val="105"/>
              </w:rPr>
              <w:t>dei</w:t>
            </w:r>
            <w:r>
              <w:rPr>
                <w:spacing w:val="-4"/>
                <w:w w:val="105"/>
              </w:rPr>
              <w:t> </w:t>
            </w:r>
            <w:r>
              <w:rPr>
                <w:w w:val="105"/>
              </w:rPr>
              <w:t>creditori</w:t>
              <w:tab/>
              <w:t>77</w:t>
            </w:r>
          </w:hyperlink>
        </w:p>
        <w:p>
          <w:pPr>
            <w:pStyle w:val="TOC2"/>
            <w:numPr>
              <w:ilvl w:val="1"/>
              <w:numId w:val="3"/>
            </w:numPr>
            <w:tabs>
              <w:tab w:pos="824" w:val="left" w:leader="none"/>
              <w:tab w:pos="7112" w:val="right" w:leader="dot"/>
            </w:tabs>
            <w:spacing w:line="240" w:lineRule="auto" w:before="119" w:after="0"/>
            <w:ind w:left="823" w:right="0" w:hanging="423"/>
            <w:jc w:val="left"/>
          </w:pPr>
          <w:hyperlink w:history="true" w:anchor="_TOC_250013">
            <w:r>
              <w:rPr>
                <w:w w:val="105"/>
              </w:rPr>
              <w:t>La</w:t>
            </w:r>
            <w:r>
              <w:rPr>
                <w:spacing w:val="-7"/>
                <w:w w:val="105"/>
              </w:rPr>
              <w:t> </w:t>
            </w:r>
            <w:r>
              <w:rPr>
                <w:w w:val="105"/>
              </w:rPr>
              <w:t>convenienza</w:t>
            </w:r>
            <w:r>
              <w:rPr>
                <w:spacing w:val="-9"/>
                <w:w w:val="105"/>
              </w:rPr>
              <w:t> </w:t>
            </w:r>
            <w:r>
              <w:rPr>
                <w:w w:val="105"/>
              </w:rPr>
              <w:t>del</w:t>
            </w:r>
            <w:r>
              <w:rPr>
                <w:spacing w:val="-6"/>
                <w:w w:val="105"/>
              </w:rPr>
              <w:t> </w:t>
            </w:r>
            <w:r>
              <w:rPr>
                <w:w w:val="105"/>
              </w:rPr>
              <w:t>Piano</w:t>
            </w:r>
            <w:r>
              <w:rPr>
                <w:spacing w:val="-8"/>
                <w:w w:val="105"/>
              </w:rPr>
              <w:t> </w:t>
            </w:r>
            <w:r>
              <w:rPr>
                <w:w w:val="105"/>
              </w:rPr>
              <w:t>e</w:t>
            </w:r>
            <w:r>
              <w:rPr>
                <w:spacing w:val="-7"/>
                <w:w w:val="105"/>
              </w:rPr>
              <w:t> </w:t>
            </w:r>
            <w:r>
              <w:rPr>
                <w:w w:val="105"/>
              </w:rPr>
              <w:t>delle</w:t>
            </w:r>
            <w:r>
              <w:rPr>
                <w:spacing w:val="-7"/>
                <w:w w:val="105"/>
              </w:rPr>
              <w:t> </w:t>
            </w:r>
            <w:r>
              <w:rPr>
                <w:w w:val="105"/>
              </w:rPr>
              <w:t>Proposta</w:t>
            </w:r>
            <w:r>
              <w:rPr>
                <w:spacing w:val="-7"/>
                <w:w w:val="105"/>
              </w:rPr>
              <w:t> </w:t>
            </w:r>
            <w:r>
              <w:rPr>
                <w:w w:val="105"/>
              </w:rPr>
              <w:t>di</w:t>
            </w:r>
            <w:r>
              <w:rPr>
                <w:spacing w:val="-7"/>
                <w:w w:val="105"/>
              </w:rPr>
              <w:t> </w:t>
            </w:r>
            <w:r>
              <w:rPr>
                <w:w w:val="105"/>
              </w:rPr>
              <w:t>Concordato</w:t>
              <w:tab/>
              <w:t>79</w:t>
            </w:r>
          </w:hyperlink>
        </w:p>
        <w:p>
          <w:pPr>
            <w:pStyle w:val="TOC2"/>
            <w:numPr>
              <w:ilvl w:val="1"/>
              <w:numId w:val="3"/>
            </w:numPr>
            <w:tabs>
              <w:tab w:pos="1067" w:val="left" w:leader="none"/>
              <w:tab w:pos="1068" w:val="left" w:leader="none"/>
              <w:tab w:pos="7116" w:val="right" w:leader="dot"/>
            </w:tabs>
            <w:spacing w:line="240" w:lineRule="auto" w:before="119" w:after="0"/>
            <w:ind w:left="1067" w:right="0" w:hanging="667"/>
            <w:jc w:val="left"/>
          </w:pPr>
          <w:hyperlink w:history="true" w:anchor="_TOC_250012">
            <w:r>
              <w:rPr>
                <w:w w:val="105"/>
              </w:rPr>
              <w:t>Il</w:t>
            </w:r>
            <w:r>
              <w:rPr>
                <w:spacing w:val="-3"/>
                <w:w w:val="105"/>
              </w:rPr>
              <w:t> </w:t>
            </w:r>
            <w:r>
              <w:rPr>
                <w:w w:val="105"/>
              </w:rPr>
              <w:t>Piano</w:t>
              <w:tab/>
              <w:t>80</w:t>
            </w:r>
          </w:hyperlink>
        </w:p>
        <w:p>
          <w:pPr>
            <w:pStyle w:val="TOC2"/>
            <w:numPr>
              <w:ilvl w:val="1"/>
              <w:numId w:val="3"/>
            </w:numPr>
            <w:tabs>
              <w:tab w:pos="1067" w:val="left" w:leader="none"/>
              <w:tab w:pos="1068" w:val="left" w:leader="none"/>
              <w:tab w:pos="7114" w:val="right" w:leader="dot"/>
            </w:tabs>
            <w:spacing w:line="240" w:lineRule="auto" w:before="118" w:after="0"/>
            <w:ind w:left="1067" w:right="0" w:hanging="667"/>
            <w:jc w:val="left"/>
          </w:pPr>
          <w:hyperlink w:history="true" w:anchor="_TOC_250011">
            <w:r>
              <w:rPr>
                <w:w w:val="105"/>
              </w:rPr>
              <w:t>Il Piano</w:t>
            </w:r>
            <w:r>
              <w:rPr>
                <w:spacing w:val="-6"/>
                <w:w w:val="105"/>
              </w:rPr>
              <w:t> </w:t>
            </w:r>
            <w:r>
              <w:rPr>
                <w:w w:val="105"/>
              </w:rPr>
              <w:t>di</w:t>
            </w:r>
            <w:r>
              <w:rPr>
                <w:spacing w:val="-3"/>
                <w:w w:val="105"/>
              </w:rPr>
              <w:t> </w:t>
            </w:r>
            <w:r>
              <w:rPr>
                <w:w w:val="105"/>
              </w:rPr>
              <w:t>Ripagamento</w:t>
              <w:tab/>
              <w:t>81</w:t>
            </w:r>
          </w:hyperlink>
        </w:p>
        <w:p>
          <w:pPr>
            <w:pStyle w:val="TOC1"/>
            <w:tabs>
              <w:tab w:pos="7107" w:val="right" w:leader="dot"/>
            </w:tabs>
          </w:pPr>
          <w:hyperlink w:history="true" w:anchor="_TOC_250010">
            <w:r>
              <w:rPr>
                <w:w w:val="105"/>
              </w:rPr>
              <w:t>CAPITOLO</w:t>
            </w:r>
            <w:r>
              <w:rPr>
                <w:spacing w:val="-2"/>
                <w:w w:val="105"/>
              </w:rPr>
              <w:t> </w:t>
            </w:r>
            <w:r>
              <w:rPr>
                <w:w w:val="105"/>
              </w:rPr>
              <w:t>9</w:t>
              <w:tab/>
              <w:t>84</w:t>
            </w:r>
          </w:hyperlink>
        </w:p>
        <w:p>
          <w:pPr>
            <w:pStyle w:val="TOC2"/>
            <w:tabs>
              <w:tab w:pos="7113" w:val="right" w:leader="dot"/>
            </w:tabs>
            <w:ind w:left="400" w:firstLine="0"/>
          </w:pPr>
          <w:hyperlink w:history="true" w:anchor="_TOC_250009">
            <w:r>
              <w:rPr>
                <w:w w:val="105"/>
              </w:rPr>
              <w:t>La veridicità dei dati aziendali e la fattibilità</w:t>
            </w:r>
            <w:r>
              <w:rPr>
                <w:spacing w:val="-38"/>
                <w:w w:val="105"/>
              </w:rPr>
              <w:t> </w:t>
            </w:r>
            <w:r>
              <w:rPr>
                <w:w w:val="105"/>
              </w:rPr>
              <w:t>del</w:t>
            </w:r>
            <w:r>
              <w:rPr>
                <w:spacing w:val="-4"/>
                <w:w w:val="105"/>
              </w:rPr>
              <w:t> </w:t>
            </w:r>
            <w:r>
              <w:rPr>
                <w:w w:val="105"/>
              </w:rPr>
              <w:t>Piano</w:t>
              <w:tab/>
              <w:t>84</w:t>
            </w:r>
          </w:hyperlink>
        </w:p>
        <w:p>
          <w:pPr>
            <w:pStyle w:val="TOC1"/>
            <w:tabs>
              <w:tab w:pos="7108" w:val="right" w:leader="dot"/>
            </w:tabs>
          </w:pPr>
          <w:hyperlink w:history="true" w:anchor="_TOC_250008">
            <w:r>
              <w:rPr>
                <w:w w:val="105"/>
              </w:rPr>
              <w:t>CAPITOLO</w:t>
            </w:r>
            <w:r>
              <w:rPr>
                <w:spacing w:val="-2"/>
                <w:w w:val="105"/>
              </w:rPr>
              <w:t> </w:t>
            </w:r>
            <w:r>
              <w:rPr>
                <w:w w:val="105"/>
              </w:rPr>
              <w:t>10</w:t>
              <w:tab/>
              <w:t>85</w:t>
            </w:r>
          </w:hyperlink>
        </w:p>
        <w:p>
          <w:pPr>
            <w:pStyle w:val="TOC2"/>
            <w:tabs>
              <w:tab w:pos="7112" w:val="right" w:leader="dot"/>
            </w:tabs>
            <w:ind w:left="400" w:firstLine="0"/>
          </w:pPr>
          <w:r>
            <w:rPr>
              <w:w w:val="105"/>
            </w:rPr>
            <w:t>Disponibilità liquide per il deposito delle spese</w:t>
          </w:r>
          <w:r>
            <w:rPr>
              <w:spacing w:val="-37"/>
              <w:w w:val="105"/>
            </w:rPr>
            <w:t> </w:t>
          </w:r>
          <w:r>
            <w:rPr>
              <w:w w:val="105"/>
            </w:rPr>
            <w:t>di</w:t>
          </w:r>
          <w:r>
            <w:rPr>
              <w:spacing w:val="-6"/>
              <w:w w:val="105"/>
            </w:rPr>
            <w:t> </w:t>
          </w:r>
          <w:r>
            <w:rPr>
              <w:w w:val="105"/>
            </w:rPr>
            <w:t>giustizia</w:t>
            <w:tab/>
            <w:t>85</w:t>
          </w:r>
        </w:p>
        <w:p>
          <w:pPr>
            <w:pStyle w:val="TOC1"/>
            <w:tabs>
              <w:tab w:pos="7107" w:val="right" w:leader="dot"/>
            </w:tabs>
            <w:spacing w:before="118"/>
          </w:pPr>
          <w:hyperlink w:history="true" w:anchor="_TOC_250007">
            <w:r>
              <w:rPr>
                <w:w w:val="105"/>
              </w:rPr>
              <w:t>CAPITOLO</w:t>
            </w:r>
            <w:r>
              <w:rPr>
                <w:spacing w:val="-2"/>
                <w:w w:val="105"/>
              </w:rPr>
              <w:t> </w:t>
            </w:r>
            <w:r>
              <w:rPr>
                <w:w w:val="105"/>
              </w:rPr>
              <w:t>11</w:t>
              <w:tab/>
              <w:t>86</w:t>
            </w:r>
          </w:hyperlink>
        </w:p>
        <w:p>
          <w:pPr>
            <w:pStyle w:val="TOC2"/>
            <w:tabs>
              <w:tab w:pos="7114" w:val="right" w:leader="dot"/>
            </w:tabs>
            <w:spacing w:line="247" w:lineRule="auto"/>
            <w:ind w:left="400" w:right="2203" w:firstLine="0"/>
          </w:pPr>
          <w:hyperlink w:history="true" w:anchor="_TOC_250006">
            <w:r>
              <w:rPr>
                <w:w w:val="105"/>
              </w:rPr>
              <w:t>Elenco dei titolari dei diritti reali o personali su beni di proprietà o in possesso</w:t>
            </w:r>
            <w:r>
              <w:rPr>
                <w:spacing w:val="-7"/>
                <w:w w:val="105"/>
              </w:rPr>
              <w:t> </w:t>
            </w:r>
            <w:r>
              <w:rPr>
                <w:w w:val="105"/>
              </w:rPr>
              <w:t>del</w:t>
            </w:r>
            <w:r>
              <w:rPr>
                <w:spacing w:val="-8"/>
                <w:w w:val="105"/>
              </w:rPr>
              <w:t> </w:t>
            </w:r>
            <w:r>
              <w:rPr>
                <w:w w:val="105"/>
              </w:rPr>
              <w:t>debitore</w:t>
            </w:r>
            <w:r>
              <w:rPr>
                <w:spacing w:val="-7"/>
                <w:w w:val="105"/>
              </w:rPr>
              <w:t> </w:t>
            </w:r>
            <w:r>
              <w:rPr>
                <w:w w:val="105"/>
              </w:rPr>
              <w:t>ex</w:t>
            </w:r>
            <w:r>
              <w:rPr>
                <w:spacing w:val="-9"/>
                <w:w w:val="105"/>
              </w:rPr>
              <w:t> </w:t>
            </w:r>
            <w:r>
              <w:rPr>
                <w:w w:val="105"/>
              </w:rPr>
              <w:t>art.</w:t>
            </w:r>
            <w:r>
              <w:rPr>
                <w:spacing w:val="-8"/>
                <w:w w:val="105"/>
              </w:rPr>
              <w:t> </w:t>
            </w:r>
            <w:r>
              <w:rPr>
                <w:w w:val="105"/>
              </w:rPr>
              <w:t>161</w:t>
            </w:r>
            <w:r>
              <w:rPr>
                <w:spacing w:val="-8"/>
                <w:w w:val="105"/>
              </w:rPr>
              <w:t> </w:t>
            </w:r>
            <w:r>
              <w:rPr>
                <w:w w:val="105"/>
              </w:rPr>
              <w:t>secondo</w:t>
            </w:r>
            <w:r>
              <w:rPr>
                <w:spacing w:val="-10"/>
                <w:w w:val="105"/>
              </w:rPr>
              <w:t> </w:t>
            </w:r>
            <w:r>
              <w:rPr>
                <w:w w:val="105"/>
              </w:rPr>
              <w:t>comma</w:t>
            </w:r>
            <w:r>
              <w:rPr>
                <w:spacing w:val="-9"/>
                <w:w w:val="105"/>
              </w:rPr>
              <w:t> </w:t>
            </w:r>
            <w:r>
              <w:rPr>
                <w:w w:val="105"/>
              </w:rPr>
              <w:t>lett.</w:t>
            </w:r>
            <w:r>
              <w:rPr>
                <w:spacing w:val="-7"/>
                <w:w w:val="105"/>
              </w:rPr>
              <w:t> </w:t>
            </w:r>
            <w:r>
              <w:rPr>
                <w:w w:val="105"/>
              </w:rPr>
              <w:t>d)</w:t>
            </w:r>
            <w:r>
              <w:rPr>
                <w:spacing w:val="-8"/>
                <w:w w:val="105"/>
              </w:rPr>
              <w:t> </w:t>
            </w:r>
            <w:r>
              <w:rPr>
                <w:w w:val="105"/>
              </w:rPr>
              <w:t>legge</w:t>
            </w:r>
            <w:r>
              <w:rPr>
                <w:spacing w:val="-8"/>
                <w:w w:val="105"/>
              </w:rPr>
              <w:t> </w:t>
            </w:r>
            <w:r>
              <w:rPr>
                <w:w w:val="105"/>
              </w:rPr>
              <w:t>fall</w:t>
              <w:tab/>
              <w:t>86</w:t>
            </w:r>
          </w:hyperlink>
        </w:p>
        <w:p>
          <w:pPr>
            <w:pStyle w:val="TOC1"/>
            <w:tabs>
              <w:tab w:pos="7108" w:val="right" w:leader="dot"/>
            </w:tabs>
            <w:spacing w:before="112"/>
          </w:pPr>
          <w:hyperlink w:history="true" w:anchor="_TOC_250005">
            <w:r>
              <w:rPr>
                <w:w w:val="105"/>
              </w:rPr>
              <w:t>CAPITOLO</w:t>
            </w:r>
            <w:r>
              <w:rPr>
                <w:spacing w:val="-2"/>
                <w:w w:val="105"/>
              </w:rPr>
              <w:t> </w:t>
            </w:r>
            <w:r>
              <w:rPr>
                <w:w w:val="105"/>
              </w:rPr>
              <w:t>12</w:t>
              <w:tab/>
              <w:t>87</w:t>
            </w:r>
          </w:hyperlink>
        </w:p>
        <w:p>
          <w:pPr>
            <w:pStyle w:val="TOC2"/>
            <w:tabs>
              <w:tab w:pos="7117" w:val="right" w:leader="dot"/>
            </w:tabs>
            <w:spacing w:before="118"/>
            <w:ind w:left="400" w:firstLine="0"/>
          </w:pPr>
          <w:hyperlink w:history="true" w:anchor="_TOC_250004">
            <w:r>
              <w:rPr>
                <w:w w:val="105"/>
              </w:rPr>
              <w:t>Istanze</w:t>
            </w:r>
            <w:r>
              <w:rPr>
                <w:spacing w:val="-3"/>
                <w:w w:val="105"/>
              </w:rPr>
              <w:t> </w:t>
            </w:r>
            <w:r>
              <w:rPr>
                <w:w w:val="105"/>
              </w:rPr>
              <w:t>di</w:t>
            </w:r>
            <w:r>
              <w:rPr>
                <w:spacing w:val="-3"/>
                <w:w w:val="105"/>
              </w:rPr>
              <w:t> </w:t>
            </w:r>
            <w:r>
              <w:rPr>
                <w:w w:val="105"/>
              </w:rPr>
              <w:t>autorizzazione</w:t>
              <w:tab/>
              <w:t>87</w:t>
            </w:r>
          </w:hyperlink>
        </w:p>
        <w:p>
          <w:pPr>
            <w:pStyle w:val="TOC1"/>
            <w:tabs>
              <w:tab w:pos="7108" w:val="right" w:leader="dot"/>
            </w:tabs>
          </w:pPr>
          <w:hyperlink w:history="true" w:anchor="_TOC_250003">
            <w:r>
              <w:rPr>
                <w:w w:val="105"/>
              </w:rPr>
              <w:t>CAPITOLO</w:t>
            </w:r>
            <w:r>
              <w:rPr>
                <w:spacing w:val="-2"/>
                <w:w w:val="105"/>
              </w:rPr>
              <w:t> </w:t>
            </w:r>
            <w:r>
              <w:rPr>
                <w:w w:val="105"/>
              </w:rPr>
              <w:t>13</w:t>
              <w:tab/>
              <w:t>88</w:t>
            </w:r>
          </w:hyperlink>
        </w:p>
        <w:p>
          <w:pPr>
            <w:pStyle w:val="TOC2"/>
            <w:tabs>
              <w:tab w:pos="7114" w:val="right" w:leader="dot"/>
            </w:tabs>
            <w:ind w:left="400" w:firstLine="0"/>
          </w:pPr>
          <w:hyperlink w:history="true" w:anchor="_TOC_250002">
            <w:r>
              <w:rPr>
                <w:w w:val="105"/>
              </w:rPr>
              <w:t>La nomina del</w:t>
            </w:r>
            <w:r>
              <w:rPr>
                <w:spacing w:val="-10"/>
                <w:w w:val="105"/>
              </w:rPr>
              <w:t> </w:t>
            </w:r>
            <w:r>
              <w:rPr>
                <w:w w:val="105"/>
              </w:rPr>
              <w:t>Liquidatore</w:t>
            </w:r>
            <w:r>
              <w:rPr>
                <w:spacing w:val="-4"/>
                <w:w w:val="105"/>
              </w:rPr>
              <w:t> </w:t>
            </w:r>
            <w:r>
              <w:rPr>
                <w:w w:val="105"/>
              </w:rPr>
              <w:t>Giudiziale</w:t>
              <w:tab/>
              <w:t>88</w:t>
            </w:r>
          </w:hyperlink>
        </w:p>
        <w:p>
          <w:pPr>
            <w:pStyle w:val="TOC1"/>
            <w:tabs>
              <w:tab w:pos="7108" w:val="right" w:leader="dot"/>
            </w:tabs>
          </w:pPr>
          <w:hyperlink w:history="true" w:anchor="_TOC_250001">
            <w:r>
              <w:rPr>
                <w:w w:val="105"/>
              </w:rPr>
              <w:t>CAPITOLO</w:t>
            </w:r>
            <w:r>
              <w:rPr>
                <w:spacing w:val="-2"/>
                <w:w w:val="105"/>
              </w:rPr>
              <w:t> </w:t>
            </w:r>
            <w:r>
              <w:rPr>
                <w:w w:val="105"/>
              </w:rPr>
              <w:t>14</w:t>
              <w:tab/>
              <w:t>89</w:t>
            </w:r>
          </w:hyperlink>
        </w:p>
        <w:p>
          <w:pPr>
            <w:pStyle w:val="TOC2"/>
            <w:tabs>
              <w:tab w:pos="7114" w:val="right" w:leader="dot"/>
            </w:tabs>
            <w:spacing w:before="118"/>
            <w:ind w:left="400" w:firstLine="0"/>
          </w:pPr>
          <w:hyperlink w:history="true" w:anchor="_TOC_250000">
            <w:r>
              <w:rPr>
                <w:w w:val="105"/>
              </w:rPr>
              <w:t>Riserva di</w:t>
            </w:r>
            <w:r>
              <w:rPr>
                <w:spacing w:val="-6"/>
                <w:w w:val="105"/>
              </w:rPr>
              <w:t> </w:t>
            </w:r>
            <w:r>
              <w:rPr>
                <w:w w:val="105"/>
              </w:rPr>
              <w:t>modifica</w:t>
            </w:r>
            <w:r>
              <w:rPr>
                <w:spacing w:val="-3"/>
                <w:w w:val="105"/>
              </w:rPr>
              <w:t> </w:t>
            </w:r>
            <w:r>
              <w:rPr>
                <w:w w:val="105"/>
              </w:rPr>
              <w:t>migliorativa</w:t>
              <w:tab/>
              <w:t>89</w:t>
            </w:r>
          </w:hyperlink>
        </w:p>
      </w:sdtContent>
    </w:sdt>
    <w:p>
      <w:pPr>
        <w:spacing w:after="0"/>
        <w:sectPr>
          <w:type w:val="continuous"/>
          <w:pgSz w:w="12240" w:h="15840"/>
          <w:pgMar w:top="1500" w:bottom="2253" w:left="1720" w:right="1200"/>
        </w:sectPr>
      </w:pPr>
    </w:p>
    <w:p>
      <w:pPr>
        <w:pStyle w:val="BodyText"/>
        <w:spacing w:before="374"/>
        <w:ind w:left="424" w:right="2273"/>
        <w:jc w:val="center"/>
      </w:pPr>
      <w:r>
        <w:rPr>
          <w:w w:val="105"/>
        </w:rPr>
        <w:t>* * *</w:t>
      </w:r>
    </w:p>
    <w:p>
      <w:pPr>
        <w:pStyle w:val="BodyText"/>
        <w:spacing w:before="260"/>
        <w:ind w:left="400"/>
      </w:pPr>
      <w:r>
        <w:rPr/>
        <w:t>Onorevole Tribunale,</w:t>
      </w:r>
    </w:p>
    <w:p>
      <w:pPr>
        <w:spacing w:before="261"/>
        <w:ind w:left="400" w:right="0" w:firstLine="0"/>
        <w:jc w:val="left"/>
        <w:rPr>
          <w:sz w:val="22"/>
        </w:rPr>
      </w:pPr>
      <w:r>
        <w:rPr>
          <w:w w:val="105"/>
          <w:sz w:val="22"/>
        </w:rPr>
        <w:t>la società </w:t>
      </w:r>
      <w:r>
        <w:rPr>
          <w:b/>
          <w:w w:val="105"/>
          <w:sz w:val="22"/>
          <w:u w:val="single"/>
        </w:rPr>
        <w:t>BIOCHEMTEX S.P.A.</w:t>
      </w:r>
      <w:r>
        <w:rPr>
          <w:w w:val="105"/>
          <w:sz w:val="22"/>
        </w:rPr>
        <w:t>, con sede legale e principale in Tortona</w:t>
      </w:r>
    </w:p>
    <w:p>
      <w:pPr>
        <w:spacing w:after="0"/>
        <w:jc w:val="left"/>
        <w:rPr>
          <w:sz w:val="22"/>
        </w:rPr>
        <w:sectPr>
          <w:type w:val="continuous"/>
          <w:pgSz w:w="12240" w:h="15840"/>
          <w:pgMar w:top="1500" w:bottom="980" w:left="1720" w:right="1200"/>
        </w:sectPr>
      </w:pPr>
    </w:p>
    <w:p>
      <w:pPr>
        <w:pStyle w:val="BodyText"/>
        <w:spacing w:line="491" w:lineRule="auto" w:before="105"/>
        <w:ind w:left="400" w:right="2196"/>
        <w:jc w:val="both"/>
      </w:pPr>
      <w:r>
        <w:rPr>
          <w:w w:val="105"/>
        </w:rPr>
        <w:t>(AL),</w:t>
      </w:r>
      <w:r>
        <w:rPr>
          <w:spacing w:val="-7"/>
          <w:w w:val="105"/>
        </w:rPr>
        <w:t> </w:t>
      </w:r>
      <w:r>
        <w:rPr>
          <w:w w:val="105"/>
        </w:rPr>
        <w:t>Strada</w:t>
      </w:r>
      <w:r>
        <w:rPr>
          <w:spacing w:val="-7"/>
          <w:w w:val="105"/>
        </w:rPr>
        <w:t> </w:t>
      </w:r>
      <w:r>
        <w:rPr>
          <w:w w:val="105"/>
        </w:rPr>
        <w:t>Ribrocca</w:t>
      </w:r>
      <w:r>
        <w:rPr>
          <w:spacing w:val="-7"/>
          <w:w w:val="105"/>
        </w:rPr>
        <w:t> </w:t>
      </w:r>
      <w:r>
        <w:rPr>
          <w:w w:val="105"/>
        </w:rPr>
        <w:t>n.</w:t>
      </w:r>
      <w:r>
        <w:rPr>
          <w:spacing w:val="-7"/>
          <w:w w:val="105"/>
        </w:rPr>
        <w:t> </w:t>
      </w:r>
      <w:r>
        <w:rPr>
          <w:w w:val="105"/>
        </w:rPr>
        <w:t>11,</w:t>
      </w:r>
      <w:r>
        <w:rPr>
          <w:spacing w:val="-7"/>
          <w:w w:val="105"/>
        </w:rPr>
        <w:t> </w:t>
      </w:r>
      <w:r>
        <w:rPr>
          <w:w w:val="105"/>
        </w:rPr>
        <w:t>Codice</w:t>
      </w:r>
      <w:r>
        <w:rPr>
          <w:spacing w:val="-8"/>
          <w:w w:val="105"/>
        </w:rPr>
        <w:t> </w:t>
      </w:r>
      <w:r>
        <w:rPr>
          <w:w w:val="105"/>
        </w:rPr>
        <w:t>Fiscale</w:t>
      </w:r>
      <w:r>
        <w:rPr>
          <w:spacing w:val="-7"/>
          <w:w w:val="105"/>
        </w:rPr>
        <w:t> </w:t>
      </w:r>
      <w:r>
        <w:rPr>
          <w:w w:val="105"/>
        </w:rPr>
        <w:t>e</w:t>
      </w:r>
      <w:r>
        <w:rPr>
          <w:spacing w:val="-7"/>
          <w:w w:val="105"/>
        </w:rPr>
        <w:t> </w:t>
      </w:r>
      <w:r>
        <w:rPr>
          <w:w w:val="105"/>
        </w:rPr>
        <w:t>Partita</w:t>
      </w:r>
      <w:r>
        <w:rPr>
          <w:spacing w:val="-7"/>
          <w:w w:val="105"/>
        </w:rPr>
        <w:t> </w:t>
      </w:r>
      <w:r>
        <w:rPr>
          <w:w w:val="105"/>
        </w:rPr>
        <w:t>I.V.A.</w:t>
      </w:r>
      <w:r>
        <w:rPr>
          <w:spacing w:val="-6"/>
          <w:w w:val="105"/>
        </w:rPr>
        <w:t> </w:t>
      </w:r>
      <w:r>
        <w:rPr>
          <w:w w:val="105"/>
        </w:rPr>
        <w:t>n.</w:t>
      </w:r>
      <w:r>
        <w:rPr>
          <w:spacing w:val="-7"/>
          <w:w w:val="105"/>
        </w:rPr>
        <w:t> </w:t>
      </w:r>
      <w:r>
        <w:rPr>
          <w:w w:val="105"/>
        </w:rPr>
        <w:t>04740320967, iscritta</w:t>
      </w:r>
      <w:r>
        <w:rPr>
          <w:spacing w:val="-7"/>
          <w:w w:val="105"/>
        </w:rPr>
        <w:t> </w:t>
      </w:r>
      <w:r>
        <w:rPr>
          <w:w w:val="105"/>
        </w:rPr>
        <w:t>al</w:t>
      </w:r>
      <w:r>
        <w:rPr>
          <w:spacing w:val="-6"/>
          <w:w w:val="105"/>
        </w:rPr>
        <w:t> </w:t>
      </w:r>
      <w:r>
        <w:rPr>
          <w:w w:val="105"/>
        </w:rPr>
        <w:t>Registro</w:t>
      </w:r>
      <w:r>
        <w:rPr>
          <w:spacing w:val="-6"/>
          <w:w w:val="105"/>
        </w:rPr>
        <w:t> </w:t>
      </w:r>
      <w:r>
        <w:rPr>
          <w:w w:val="105"/>
        </w:rPr>
        <w:t>Imprese</w:t>
      </w:r>
      <w:r>
        <w:rPr>
          <w:spacing w:val="-5"/>
          <w:w w:val="105"/>
        </w:rPr>
        <w:t> </w:t>
      </w:r>
      <w:r>
        <w:rPr>
          <w:w w:val="105"/>
        </w:rPr>
        <w:t>di</w:t>
      </w:r>
      <w:r>
        <w:rPr>
          <w:spacing w:val="-7"/>
          <w:w w:val="105"/>
        </w:rPr>
        <w:t> </w:t>
      </w:r>
      <w:r>
        <w:rPr>
          <w:w w:val="105"/>
        </w:rPr>
        <w:t>Alessandria,</w:t>
      </w:r>
      <w:r>
        <w:rPr>
          <w:spacing w:val="-5"/>
          <w:w w:val="105"/>
        </w:rPr>
        <w:t> </w:t>
      </w:r>
      <w:r>
        <w:rPr>
          <w:w w:val="105"/>
        </w:rPr>
        <w:t>Numero</w:t>
      </w:r>
      <w:r>
        <w:rPr>
          <w:spacing w:val="-7"/>
          <w:w w:val="105"/>
        </w:rPr>
        <w:t> </w:t>
      </w:r>
      <w:r>
        <w:rPr>
          <w:w w:val="105"/>
        </w:rPr>
        <w:t>R.E.A.</w:t>
      </w:r>
      <w:r>
        <w:rPr>
          <w:spacing w:val="-5"/>
          <w:w w:val="105"/>
        </w:rPr>
        <w:t> </w:t>
      </w:r>
      <w:r>
        <w:rPr>
          <w:w w:val="105"/>
        </w:rPr>
        <w:t>–</w:t>
      </w:r>
      <w:r>
        <w:rPr>
          <w:spacing w:val="-7"/>
          <w:w w:val="105"/>
        </w:rPr>
        <w:t> </w:t>
      </w:r>
      <w:r>
        <w:rPr>
          <w:w w:val="105"/>
        </w:rPr>
        <w:t>AL</w:t>
      </w:r>
      <w:r>
        <w:rPr>
          <w:spacing w:val="-5"/>
          <w:w w:val="105"/>
        </w:rPr>
        <w:t> </w:t>
      </w:r>
      <w:r>
        <w:rPr>
          <w:w w:val="105"/>
        </w:rPr>
        <w:t>224380</w:t>
      </w:r>
      <w:r>
        <w:rPr>
          <w:spacing w:val="-5"/>
          <w:w w:val="105"/>
        </w:rPr>
        <w:t> </w:t>
      </w:r>
      <w:r>
        <w:rPr>
          <w:w w:val="105"/>
        </w:rPr>
        <w:t>(in seguito anche la “</w:t>
      </w:r>
      <w:r>
        <w:rPr>
          <w:b/>
          <w:w w:val="105"/>
        </w:rPr>
        <w:t>Società</w:t>
      </w:r>
      <w:r>
        <w:rPr>
          <w:w w:val="105"/>
        </w:rPr>
        <w:t>” ovvero “</w:t>
      </w:r>
      <w:r>
        <w:rPr>
          <w:b/>
          <w:w w:val="105"/>
        </w:rPr>
        <w:t>Biochemtex</w:t>
      </w:r>
      <w:r>
        <w:rPr>
          <w:w w:val="105"/>
        </w:rPr>
        <w:t>”), in persona del Presidente del Consiglio di Amministrazione, Amministratore Delegato e legale</w:t>
      </w:r>
      <w:r>
        <w:rPr>
          <w:spacing w:val="-25"/>
          <w:w w:val="105"/>
        </w:rPr>
        <w:t> </w:t>
      </w:r>
      <w:r>
        <w:rPr>
          <w:w w:val="105"/>
        </w:rPr>
        <w:t>rappresentante</w:t>
      </w:r>
      <w:r>
        <w:rPr>
          <w:spacing w:val="-22"/>
          <w:w w:val="105"/>
        </w:rPr>
        <w:t> </w:t>
      </w:r>
      <w:r>
        <w:rPr>
          <w:i/>
          <w:w w:val="105"/>
        </w:rPr>
        <w:t>pro</w:t>
      </w:r>
      <w:r>
        <w:rPr>
          <w:i/>
          <w:spacing w:val="-25"/>
          <w:w w:val="105"/>
        </w:rPr>
        <w:t> </w:t>
      </w:r>
      <w:r>
        <w:rPr>
          <w:i/>
          <w:w w:val="105"/>
        </w:rPr>
        <w:t>tempore</w:t>
      </w:r>
      <w:r>
        <w:rPr>
          <w:w w:val="105"/>
        </w:rPr>
        <w:t>,</w:t>
      </w:r>
      <w:r>
        <w:rPr>
          <w:spacing w:val="-25"/>
          <w:w w:val="105"/>
        </w:rPr>
        <w:t> </w:t>
      </w:r>
      <w:r>
        <w:rPr>
          <w:w w:val="105"/>
        </w:rPr>
        <w:t>Ing.</w:t>
      </w:r>
      <w:r>
        <w:rPr>
          <w:spacing w:val="-25"/>
          <w:w w:val="105"/>
        </w:rPr>
        <w:t> </w:t>
      </w:r>
      <w:r>
        <w:rPr>
          <w:w w:val="105"/>
        </w:rPr>
        <w:t>Giovanni</w:t>
      </w:r>
      <w:r>
        <w:rPr>
          <w:spacing w:val="-25"/>
          <w:w w:val="105"/>
        </w:rPr>
        <w:t> </w:t>
      </w:r>
      <w:r>
        <w:rPr>
          <w:w w:val="105"/>
        </w:rPr>
        <w:t>Bolcheni,</w:t>
      </w:r>
    </w:p>
    <w:p>
      <w:pPr>
        <w:pStyle w:val="Heading2"/>
        <w:spacing w:before="1"/>
        <w:ind w:right="2272"/>
      </w:pPr>
      <w:r>
        <w:rPr>
          <w:w w:val="105"/>
        </w:rPr>
        <w:t>premesso che</w:t>
      </w:r>
    </w:p>
    <w:p>
      <w:pPr>
        <w:pStyle w:val="BodyText"/>
        <w:spacing w:before="1"/>
        <w:rPr>
          <w:b/>
          <w:sz w:val="23"/>
        </w:rPr>
      </w:pPr>
    </w:p>
    <w:p>
      <w:pPr>
        <w:pStyle w:val="ListParagraph"/>
        <w:numPr>
          <w:ilvl w:val="2"/>
          <w:numId w:val="3"/>
        </w:numPr>
        <w:tabs>
          <w:tab w:pos="950" w:val="left" w:leader="none"/>
        </w:tabs>
        <w:spacing w:line="491" w:lineRule="auto" w:before="0" w:after="0"/>
        <w:ind w:left="400" w:right="2195" w:firstLine="338"/>
        <w:jc w:val="both"/>
        <w:rPr>
          <w:sz w:val="22"/>
        </w:rPr>
      </w:pPr>
      <w:r>
        <w:rPr>
          <w:w w:val="105"/>
          <w:sz w:val="22"/>
        </w:rPr>
        <w:t>la Società possiede i requisiti legali richiesti dall'art. 160 legge fall. per l'ammissione alla procedura di concordato preventivo, in quanto (i) è imprenditore commerciale ai sensi dell’art. 1 legge fall. e quindi è soggetta alle</w:t>
      </w:r>
      <w:r>
        <w:rPr>
          <w:spacing w:val="-15"/>
          <w:w w:val="105"/>
          <w:sz w:val="22"/>
        </w:rPr>
        <w:t> </w:t>
      </w:r>
      <w:r>
        <w:rPr>
          <w:w w:val="105"/>
          <w:sz w:val="22"/>
        </w:rPr>
        <w:t>disposizioni</w:t>
      </w:r>
      <w:r>
        <w:rPr>
          <w:spacing w:val="-15"/>
          <w:w w:val="105"/>
          <w:sz w:val="22"/>
        </w:rPr>
        <w:t> </w:t>
      </w:r>
      <w:r>
        <w:rPr>
          <w:w w:val="105"/>
          <w:sz w:val="22"/>
        </w:rPr>
        <w:t>sul</w:t>
      </w:r>
      <w:r>
        <w:rPr>
          <w:spacing w:val="-15"/>
          <w:w w:val="105"/>
          <w:sz w:val="22"/>
        </w:rPr>
        <w:t> </w:t>
      </w:r>
      <w:r>
        <w:rPr>
          <w:w w:val="105"/>
          <w:sz w:val="22"/>
        </w:rPr>
        <w:t>fallimento</w:t>
      </w:r>
      <w:r>
        <w:rPr>
          <w:spacing w:val="-15"/>
          <w:w w:val="105"/>
          <w:sz w:val="22"/>
        </w:rPr>
        <w:t> </w:t>
      </w:r>
      <w:r>
        <w:rPr>
          <w:w w:val="105"/>
          <w:sz w:val="22"/>
        </w:rPr>
        <w:t>e</w:t>
      </w:r>
      <w:r>
        <w:rPr>
          <w:spacing w:val="-16"/>
          <w:w w:val="105"/>
          <w:sz w:val="22"/>
        </w:rPr>
        <w:t> </w:t>
      </w:r>
      <w:r>
        <w:rPr>
          <w:w w:val="105"/>
          <w:sz w:val="22"/>
        </w:rPr>
        <w:t>sul</w:t>
      </w:r>
      <w:r>
        <w:rPr>
          <w:spacing w:val="-15"/>
          <w:w w:val="105"/>
          <w:sz w:val="22"/>
        </w:rPr>
        <w:t> </w:t>
      </w:r>
      <w:r>
        <w:rPr>
          <w:w w:val="105"/>
          <w:sz w:val="22"/>
        </w:rPr>
        <w:t>concordato</w:t>
      </w:r>
      <w:r>
        <w:rPr>
          <w:spacing w:val="-15"/>
          <w:w w:val="105"/>
          <w:sz w:val="22"/>
        </w:rPr>
        <w:t> </w:t>
      </w:r>
      <w:r>
        <w:rPr>
          <w:w w:val="105"/>
          <w:sz w:val="22"/>
        </w:rPr>
        <w:t>preventivo,</w:t>
      </w:r>
      <w:r>
        <w:rPr>
          <w:spacing w:val="-14"/>
          <w:w w:val="105"/>
          <w:sz w:val="22"/>
        </w:rPr>
        <w:t> </w:t>
      </w:r>
      <w:r>
        <w:rPr>
          <w:w w:val="105"/>
          <w:sz w:val="22"/>
        </w:rPr>
        <w:t>(ii)</w:t>
      </w:r>
      <w:r>
        <w:rPr>
          <w:spacing w:val="-15"/>
          <w:w w:val="105"/>
          <w:sz w:val="22"/>
        </w:rPr>
        <w:t> </w:t>
      </w:r>
      <w:r>
        <w:rPr>
          <w:w w:val="105"/>
          <w:sz w:val="22"/>
        </w:rPr>
        <w:t>non</w:t>
      </w:r>
      <w:r>
        <w:rPr>
          <w:spacing w:val="-15"/>
          <w:w w:val="105"/>
          <w:sz w:val="22"/>
        </w:rPr>
        <w:t> </w:t>
      </w:r>
      <w:r>
        <w:rPr>
          <w:w w:val="105"/>
          <w:sz w:val="22"/>
        </w:rPr>
        <w:t>possiede nessuno</w:t>
      </w:r>
      <w:r>
        <w:rPr>
          <w:spacing w:val="-7"/>
          <w:w w:val="105"/>
          <w:sz w:val="22"/>
        </w:rPr>
        <w:t> </w:t>
      </w:r>
      <w:r>
        <w:rPr>
          <w:w w:val="105"/>
          <w:sz w:val="22"/>
        </w:rPr>
        <w:t>dei</w:t>
      </w:r>
      <w:r>
        <w:rPr>
          <w:spacing w:val="-7"/>
          <w:w w:val="105"/>
          <w:sz w:val="22"/>
        </w:rPr>
        <w:t> </w:t>
      </w:r>
      <w:r>
        <w:rPr>
          <w:w w:val="105"/>
          <w:sz w:val="22"/>
        </w:rPr>
        <w:t>requisiti</w:t>
      </w:r>
      <w:r>
        <w:rPr>
          <w:spacing w:val="-7"/>
          <w:w w:val="105"/>
          <w:sz w:val="22"/>
        </w:rPr>
        <w:t> </w:t>
      </w:r>
      <w:r>
        <w:rPr>
          <w:w w:val="105"/>
          <w:sz w:val="22"/>
        </w:rPr>
        <w:t>di</w:t>
      </w:r>
      <w:r>
        <w:rPr>
          <w:spacing w:val="-7"/>
          <w:w w:val="105"/>
          <w:sz w:val="22"/>
        </w:rPr>
        <w:t> </w:t>
      </w:r>
      <w:r>
        <w:rPr>
          <w:w w:val="105"/>
          <w:sz w:val="22"/>
        </w:rPr>
        <w:t>esonero</w:t>
      </w:r>
      <w:r>
        <w:rPr>
          <w:spacing w:val="-8"/>
          <w:w w:val="105"/>
          <w:sz w:val="22"/>
        </w:rPr>
        <w:t> </w:t>
      </w:r>
      <w:r>
        <w:rPr>
          <w:w w:val="105"/>
          <w:sz w:val="22"/>
        </w:rPr>
        <w:t>previsti</w:t>
      </w:r>
      <w:r>
        <w:rPr>
          <w:spacing w:val="-6"/>
          <w:w w:val="105"/>
          <w:sz w:val="22"/>
        </w:rPr>
        <w:t> </w:t>
      </w:r>
      <w:r>
        <w:rPr>
          <w:w w:val="105"/>
          <w:sz w:val="22"/>
        </w:rPr>
        <w:t>dall'art.</w:t>
      </w:r>
      <w:r>
        <w:rPr>
          <w:spacing w:val="-7"/>
          <w:w w:val="105"/>
          <w:sz w:val="22"/>
        </w:rPr>
        <w:t> </w:t>
      </w:r>
      <w:r>
        <w:rPr>
          <w:w w:val="105"/>
          <w:sz w:val="22"/>
        </w:rPr>
        <w:t>1,</w:t>
      </w:r>
      <w:r>
        <w:rPr>
          <w:spacing w:val="-7"/>
          <w:w w:val="105"/>
          <w:sz w:val="22"/>
        </w:rPr>
        <w:t> </w:t>
      </w:r>
      <w:r>
        <w:rPr>
          <w:w w:val="105"/>
          <w:sz w:val="22"/>
        </w:rPr>
        <w:t>comma</w:t>
      </w:r>
      <w:r>
        <w:rPr>
          <w:spacing w:val="-8"/>
          <w:w w:val="105"/>
          <w:sz w:val="22"/>
        </w:rPr>
        <w:t> </w:t>
      </w:r>
      <w:r>
        <w:rPr>
          <w:w w:val="105"/>
          <w:sz w:val="22"/>
        </w:rPr>
        <w:t>2,</w:t>
      </w:r>
      <w:r>
        <w:rPr>
          <w:spacing w:val="-7"/>
          <w:w w:val="105"/>
          <w:sz w:val="22"/>
        </w:rPr>
        <w:t> </w:t>
      </w:r>
      <w:r>
        <w:rPr>
          <w:w w:val="105"/>
          <w:sz w:val="22"/>
        </w:rPr>
        <w:t>legge</w:t>
      </w:r>
      <w:r>
        <w:rPr>
          <w:spacing w:val="-8"/>
          <w:w w:val="105"/>
          <w:sz w:val="22"/>
        </w:rPr>
        <w:t> </w:t>
      </w:r>
      <w:r>
        <w:rPr>
          <w:w w:val="105"/>
          <w:sz w:val="22"/>
        </w:rPr>
        <w:t>fall.</w:t>
      </w:r>
      <w:r>
        <w:rPr>
          <w:spacing w:val="-8"/>
          <w:w w:val="105"/>
          <w:sz w:val="22"/>
        </w:rPr>
        <w:t> </w:t>
      </w:r>
      <w:r>
        <w:rPr>
          <w:w w:val="105"/>
          <w:sz w:val="22"/>
        </w:rPr>
        <w:t>e</w:t>
      </w:r>
      <w:r>
        <w:rPr>
          <w:spacing w:val="-7"/>
          <w:w w:val="105"/>
          <w:sz w:val="22"/>
        </w:rPr>
        <w:t> </w:t>
      </w:r>
      <w:r>
        <w:rPr>
          <w:w w:val="105"/>
          <w:sz w:val="22"/>
        </w:rPr>
        <w:t>(iii) si</w:t>
      </w:r>
      <w:r>
        <w:rPr>
          <w:spacing w:val="-13"/>
          <w:w w:val="105"/>
          <w:sz w:val="22"/>
        </w:rPr>
        <w:t> </w:t>
      </w:r>
      <w:r>
        <w:rPr>
          <w:w w:val="105"/>
          <w:sz w:val="22"/>
        </w:rPr>
        <w:t>trova</w:t>
      </w:r>
      <w:r>
        <w:rPr>
          <w:spacing w:val="-13"/>
          <w:w w:val="105"/>
          <w:sz w:val="22"/>
        </w:rPr>
        <w:t> </w:t>
      </w:r>
      <w:r>
        <w:rPr>
          <w:w w:val="105"/>
          <w:sz w:val="22"/>
        </w:rPr>
        <w:t>in</w:t>
      </w:r>
      <w:r>
        <w:rPr>
          <w:spacing w:val="-13"/>
          <w:w w:val="105"/>
          <w:sz w:val="22"/>
        </w:rPr>
        <w:t> </w:t>
      </w:r>
      <w:r>
        <w:rPr>
          <w:w w:val="105"/>
          <w:sz w:val="22"/>
        </w:rPr>
        <w:t>stato</w:t>
      </w:r>
      <w:r>
        <w:rPr>
          <w:spacing w:val="-13"/>
          <w:w w:val="105"/>
          <w:sz w:val="22"/>
        </w:rPr>
        <w:t> </w:t>
      </w:r>
      <w:r>
        <w:rPr>
          <w:w w:val="105"/>
          <w:sz w:val="22"/>
        </w:rPr>
        <w:t>di</w:t>
      </w:r>
      <w:r>
        <w:rPr>
          <w:spacing w:val="-13"/>
          <w:w w:val="105"/>
          <w:sz w:val="22"/>
        </w:rPr>
        <w:t> </w:t>
      </w:r>
      <w:r>
        <w:rPr>
          <w:w w:val="105"/>
          <w:sz w:val="22"/>
        </w:rPr>
        <w:t>crisi</w:t>
      </w:r>
      <w:r>
        <w:rPr>
          <w:spacing w:val="-12"/>
          <w:w w:val="105"/>
          <w:sz w:val="22"/>
        </w:rPr>
        <w:t> </w:t>
      </w:r>
      <w:r>
        <w:rPr>
          <w:w w:val="105"/>
          <w:sz w:val="22"/>
        </w:rPr>
        <w:t>ai</w:t>
      </w:r>
      <w:r>
        <w:rPr>
          <w:spacing w:val="-13"/>
          <w:w w:val="105"/>
          <w:sz w:val="22"/>
        </w:rPr>
        <w:t> </w:t>
      </w:r>
      <w:r>
        <w:rPr>
          <w:w w:val="105"/>
          <w:sz w:val="22"/>
        </w:rPr>
        <w:t>sensi</w:t>
      </w:r>
      <w:r>
        <w:rPr>
          <w:spacing w:val="-13"/>
          <w:w w:val="105"/>
          <w:sz w:val="22"/>
        </w:rPr>
        <w:t> </w:t>
      </w:r>
      <w:r>
        <w:rPr>
          <w:w w:val="105"/>
          <w:sz w:val="22"/>
        </w:rPr>
        <w:t>dell'art.</w:t>
      </w:r>
      <w:r>
        <w:rPr>
          <w:spacing w:val="-12"/>
          <w:w w:val="105"/>
          <w:sz w:val="22"/>
        </w:rPr>
        <w:t> </w:t>
      </w:r>
      <w:r>
        <w:rPr>
          <w:w w:val="105"/>
          <w:sz w:val="22"/>
        </w:rPr>
        <w:t>160,</w:t>
      </w:r>
      <w:r>
        <w:rPr>
          <w:spacing w:val="-13"/>
          <w:w w:val="105"/>
          <w:sz w:val="22"/>
        </w:rPr>
        <w:t> </w:t>
      </w:r>
      <w:r>
        <w:rPr>
          <w:w w:val="105"/>
          <w:sz w:val="22"/>
        </w:rPr>
        <w:t>comma</w:t>
      </w:r>
      <w:r>
        <w:rPr>
          <w:spacing w:val="-13"/>
          <w:w w:val="105"/>
          <w:sz w:val="22"/>
        </w:rPr>
        <w:t> </w:t>
      </w:r>
      <w:r>
        <w:rPr>
          <w:w w:val="105"/>
          <w:sz w:val="22"/>
        </w:rPr>
        <w:t>1,</w:t>
      </w:r>
      <w:r>
        <w:rPr>
          <w:spacing w:val="-13"/>
          <w:w w:val="105"/>
          <w:sz w:val="22"/>
        </w:rPr>
        <w:t> </w:t>
      </w:r>
      <w:r>
        <w:rPr>
          <w:w w:val="105"/>
          <w:sz w:val="22"/>
        </w:rPr>
        <w:t>legge</w:t>
      </w:r>
      <w:r>
        <w:rPr>
          <w:spacing w:val="-13"/>
          <w:w w:val="105"/>
          <w:sz w:val="22"/>
        </w:rPr>
        <w:t> </w:t>
      </w:r>
      <w:r>
        <w:rPr>
          <w:w w:val="105"/>
          <w:sz w:val="22"/>
        </w:rPr>
        <w:t>fall.</w:t>
      </w:r>
      <w:r>
        <w:rPr>
          <w:spacing w:val="-13"/>
          <w:w w:val="105"/>
          <w:sz w:val="22"/>
        </w:rPr>
        <w:t> </w:t>
      </w:r>
      <w:r>
        <w:rPr>
          <w:w w:val="105"/>
          <w:sz w:val="22"/>
        </w:rPr>
        <w:t>(cfr.</w:t>
      </w:r>
      <w:r>
        <w:rPr>
          <w:spacing w:val="-13"/>
          <w:w w:val="105"/>
          <w:sz w:val="22"/>
        </w:rPr>
        <w:t> </w:t>
      </w:r>
      <w:r>
        <w:rPr>
          <w:w w:val="105"/>
          <w:sz w:val="22"/>
        </w:rPr>
        <w:t>doc.</w:t>
      </w:r>
      <w:r>
        <w:rPr>
          <w:spacing w:val="-12"/>
          <w:w w:val="105"/>
          <w:sz w:val="22"/>
        </w:rPr>
        <w:t> </w:t>
      </w:r>
      <w:r>
        <w:rPr>
          <w:w w:val="105"/>
          <w:sz w:val="22"/>
        </w:rPr>
        <w:t>1);</w:t>
      </w:r>
    </w:p>
    <w:p>
      <w:pPr>
        <w:pStyle w:val="ListParagraph"/>
        <w:numPr>
          <w:ilvl w:val="2"/>
          <w:numId w:val="3"/>
        </w:numPr>
        <w:tabs>
          <w:tab w:pos="966" w:val="left" w:leader="none"/>
        </w:tabs>
        <w:spacing w:line="491" w:lineRule="auto" w:before="0" w:after="0"/>
        <w:ind w:left="400" w:right="2197" w:firstLine="338"/>
        <w:jc w:val="both"/>
        <w:rPr>
          <w:sz w:val="22"/>
        </w:rPr>
      </w:pPr>
      <w:r>
        <w:rPr>
          <w:w w:val="105"/>
          <w:sz w:val="22"/>
        </w:rPr>
        <w:t>ai sensi dell’art. 161 legge fall., il Tribunale competente a ricevere la presente domanda è quello di Alessandria, in quanto la sede legale, amministrativa ed operativa della Società è sita in (15017) Tortona (AL), Strada</w:t>
      </w:r>
      <w:r>
        <w:rPr>
          <w:spacing w:val="-15"/>
          <w:w w:val="105"/>
          <w:sz w:val="22"/>
        </w:rPr>
        <w:t> </w:t>
      </w:r>
      <w:r>
        <w:rPr>
          <w:w w:val="105"/>
          <w:sz w:val="22"/>
        </w:rPr>
        <w:t>Ribrocca</w:t>
      </w:r>
      <w:r>
        <w:rPr>
          <w:spacing w:val="-15"/>
          <w:w w:val="105"/>
          <w:sz w:val="22"/>
        </w:rPr>
        <w:t> </w:t>
      </w:r>
      <w:r>
        <w:rPr>
          <w:w w:val="105"/>
          <w:sz w:val="22"/>
        </w:rPr>
        <w:t>n.</w:t>
      </w:r>
      <w:r>
        <w:rPr>
          <w:spacing w:val="-15"/>
          <w:w w:val="105"/>
          <w:sz w:val="22"/>
        </w:rPr>
        <w:t> </w:t>
      </w:r>
      <w:r>
        <w:rPr>
          <w:w w:val="105"/>
          <w:sz w:val="22"/>
        </w:rPr>
        <w:t>11</w:t>
      </w:r>
      <w:r>
        <w:rPr>
          <w:spacing w:val="-15"/>
          <w:w w:val="105"/>
          <w:sz w:val="22"/>
        </w:rPr>
        <w:t> </w:t>
      </w:r>
      <w:r>
        <w:rPr>
          <w:w w:val="105"/>
          <w:sz w:val="22"/>
        </w:rPr>
        <w:t>(cfr.</w:t>
      </w:r>
      <w:r>
        <w:rPr>
          <w:spacing w:val="-15"/>
          <w:w w:val="105"/>
          <w:sz w:val="22"/>
        </w:rPr>
        <w:t> </w:t>
      </w:r>
      <w:r>
        <w:rPr>
          <w:w w:val="105"/>
          <w:sz w:val="22"/>
        </w:rPr>
        <w:t>doc.</w:t>
      </w:r>
      <w:r>
        <w:rPr>
          <w:spacing w:val="-15"/>
          <w:w w:val="105"/>
          <w:sz w:val="22"/>
        </w:rPr>
        <w:t> </w:t>
      </w:r>
      <w:r>
        <w:rPr>
          <w:w w:val="105"/>
          <w:sz w:val="22"/>
        </w:rPr>
        <w:t>1);</w:t>
      </w:r>
    </w:p>
    <w:p>
      <w:pPr>
        <w:pStyle w:val="ListParagraph"/>
        <w:numPr>
          <w:ilvl w:val="2"/>
          <w:numId w:val="3"/>
        </w:numPr>
        <w:tabs>
          <w:tab w:pos="966" w:val="left" w:leader="none"/>
        </w:tabs>
        <w:spacing w:line="491" w:lineRule="auto" w:before="0" w:after="0"/>
        <w:ind w:left="400" w:right="2196" w:firstLine="338"/>
        <w:jc w:val="both"/>
        <w:rPr>
          <w:sz w:val="22"/>
        </w:rPr>
      </w:pPr>
      <w:r>
        <w:rPr>
          <w:w w:val="105"/>
          <w:sz w:val="22"/>
        </w:rPr>
        <w:t>con determinazione del Consiglio di Amministrazione ai sensi degli artt. 160, 161 e 152 legge fall., redatta dal Notaio, dott. Andrea De Costa in data 13 ottobre 2017 (cfr. doc. 12 del Ricorso, come </w:t>
      </w:r>
      <w:r>
        <w:rPr>
          <w:i/>
          <w:w w:val="105"/>
          <w:sz w:val="22"/>
        </w:rPr>
        <w:t>infra definito</w:t>
      </w:r>
      <w:r>
        <w:rPr>
          <w:w w:val="105"/>
          <w:sz w:val="22"/>
        </w:rPr>
        <w:t>) e depositata per l'iscrizione nel Registro delle Imprese di Alessandria, il Consiglio</w:t>
      </w:r>
      <w:r>
        <w:rPr>
          <w:spacing w:val="-16"/>
          <w:w w:val="105"/>
          <w:sz w:val="22"/>
        </w:rPr>
        <w:t> </w:t>
      </w:r>
      <w:r>
        <w:rPr>
          <w:w w:val="105"/>
          <w:sz w:val="22"/>
        </w:rPr>
        <w:t>di</w:t>
      </w:r>
      <w:r>
        <w:rPr>
          <w:spacing w:val="-17"/>
          <w:w w:val="105"/>
          <w:sz w:val="22"/>
        </w:rPr>
        <w:t> </w:t>
      </w:r>
      <w:r>
        <w:rPr>
          <w:w w:val="105"/>
          <w:sz w:val="22"/>
        </w:rPr>
        <w:t>Amministrazione</w:t>
      </w:r>
      <w:r>
        <w:rPr>
          <w:spacing w:val="-16"/>
          <w:w w:val="105"/>
          <w:sz w:val="22"/>
        </w:rPr>
        <w:t> </w:t>
      </w:r>
      <w:r>
        <w:rPr>
          <w:w w:val="105"/>
          <w:sz w:val="22"/>
        </w:rPr>
        <w:t>di</w:t>
      </w:r>
      <w:r>
        <w:rPr>
          <w:spacing w:val="-16"/>
          <w:w w:val="105"/>
          <w:sz w:val="22"/>
        </w:rPr>
        <w:t> </w:t>
      </w:r>
      <w:r>
        <w:rPr>
          <w:w w:val="105"/>
          <w:sz w:val="22"/>
        </w:rPr>
        <w:t>Biochemtex</w:t>
      </w:r>
      <w:r>
        <w:rPr>
          <w:spacing w:val="-17"/>
          <w:w w:val="105"/>
          <w:sz w:val="22"/>
        </w:rPr>
        <w:t> </w:t>
      </w:r>
      <w:r>
        <w:rPr>
          <w:w w:val="105"/>
          <w:sz w:val="22"/>
        </w:rPr>
        <w:t>ha</w:t>
      </w:r>
      <w:r>
        <w:rPr>
          <w:spacing w:val="-16"/>
          <w:w w:val="105"/>
          <w:sz w:val="22"/>
        </w:rPr>
        <w:t> </w:t>
      </w:r>
      <w:r>
        <w:rPr>
          <w:w w:val="105"/>
          <w:sz w:val="22"/>
        </w:rPr>
        <w:t>autorizzato</w:t>
      </w:r>
      <w:r>
        <w:rPr>
          <w:spacing w:val="-15"/>
          <w:w w:val="105"/>
          <w:sz w:val="22"/>
        </w:rPr>
        <w:t> </w:t>
      </w:r>
      <w:r>
        <w:rPr>
          <w:w w:val="105"/>
          <w:sz w:val="22"/>
        </w:rPr>
        <w:t>il</w:t>
      </w:r>
      <w:r>
        <w:rPr>
          <w:spacing w:val="-15"/>
          <w:w w:val="105"/>
          <w:sz w:val="22"/>
        </w:rPr>
        <w:t> </w:t>
      </w:r>
      <w:r>
        <w:rPr>
          <w:w w:val="105"/>
          <w:sz w:val="22"/>
        </w:rPr>
        <w:t>Presidente</w:t>
      </w:r>
      <w:r>
        <w:rPr>
          <w:spacing w:val="-17"/>
          <w:w w:val="105"/>
          <w:sz w:val="22"/>
        </w:rPr>
        <w:t> </w:t>
      </w:r>
      <w:r>
        <w:rPr>
          <w:w w:val="105"/>
          <w:sz w:val="22"/>
        </w:rPr>
        <w:t>del Consiglio di Amministrazione e legale rappresentante in carica, Ing. Giovanni Bolcheni, a depositare una proposta che consentisse il maggior beneficio</w:t>
      </w:r>
      <w:r>
        <w:rPr>
          <w:spacing w:val="-15"/>
          <w:w w:val="105"/>
          <w:sz w:val="22"/>
        </w:rPr>
        <w:t> </w:t>
      </w:r>
      <w:r>
        <w:rPr>
          <w:w w:val="105"/>
          <w:sz w:val="22"/>
        </w:rPr>
        <w:t>per</w:t>
      </w:r>
      <w:r>
        <w:rPr>
          <w:spacing w:val="-16"/>
          <w:w w:val="105"/>
          <w:sz w:val="22"/>
        </w:rPr>
        <w:t> </w:t>
      </w:r>
      <w:r>
        <w:rPr>
          <w:w w:val="105"/>
          <w:sz w:val="22"/>
        </w:rPr>
        <w:t>il</w:t>
      </w:r>
      <w:r>
        <w:rPr>
          <w:spacing w:val="-16"/>
          <w:w w:val="105"/>
          <w:sz w:val="22"/>
        </w:rPr>
        <w:t> </w:t>
      </w:r>
      <w:r>
        <w:rPr>
          <w:w w:val="105"/>
          <w:sz w:val="22"/>
        </w:rPr>
        <w:t>ceto</w:t>
      </w:r>
      <w:r>
        <w:rPr>
          <w:spacing w:val="-16"/>
          <w:w w:val="105"/>
          <w:sz w:val="22"/>
        </w:rPr>
        <w:t> </w:t>
      </w:r>
      <w:r>
        <w:rPr>
          <w:w w:val="105"/>
          <w:sz w:val="22"/>
        </w:rPr>
        <w:t>creditorio,</w:t>
      </w:r>
      <w:r>
        <w:rPr>
          <w:spacing w:val="-16"/>
          <w:w w:val="105"/>
          <w:sz w:val="22"/>
        </w:rPr>
        <w:t> </w:t>
      </w:r>
      <w:r>
        <w:rPr>
          <w:w w:val="105"/>
          <w:sz w:val="22"/>
        </w:rPr>
        <w:t>secondo</w:t>
      </w:r>
      <w:r>
        <w:rPr>
          <w:spacing w:val="-17"/>
          <w:w w:val="105"/>
          <w:sz w:val="22"/>
        </w:rPr>
        <w:t> </w:t>
      </w:r>
      <w:r>
        <w:rPr>
          <w:w w:val="105"/>
          <w:sz w:val="22"/>
        </w:rPr>
        <w:t>quanto</w:t>
      </w:r>
      <w:r>
        <w:rPr>
          <w:spacing w:val="-16"/>
          <w:w w:val="105"/>
          <w:sz w:val="22"/>
        </w:rPr>
        <w:t> </w:t>
      </w:r>
      <w:r>
        <w:rPr>
          <w:w w:val="105"/>
          <w:sz w:val="22"/>
        </w:rPr>
        <w:t>previsto</w:t>
      </w:r>
      <w:r>
        <w:rPr>
          <w:spacing w:val="-16"/>
          <w:w w:val="105"/>
          <w:sz w:val="22"/>
        </w:rPr>
        <w:t> </w:t>
      </w:r>
      <w:r>
        <w:rPr>
          <w:w w:val="105"/>
          <w:sz w:val="22"/>
        </w:rPr>
        <w:t>dal</w:t>
      </w:r>
      <w:r>
        <w:rPr>
          <w:spacing w:val="-17"/>
          <w:w w:val="105"/>
          <w:sz w:val="22"/>
        </w:rPr>
        <w:t> </w:t>
      </w:r>
      <w:r>
        <w:rPr>
          <w:w w:val="105"/>
          <w:sz w:val="22"/>
        </w:rPr>
        <w:t>redigendo</w:t>
      </w:r>
      <w:r>
        <w:rPr>
          <w:spacing w:val="-16"/>
          <w:w w:val="105"/>
          <w:sz w:val="22"/>
        </w:rPr>
        <w:t> </w:t>
      </w:r>
      <w:r>
        <w:rPr>
          <w:w w:val="105"/>
          <w:sz w:val="22"/>
        </w:rPr>
        <w:t>piano</w:t>
      </w:r>
    </w:p>
    <w:p>
      <w:pPr>
        <w:spacing w:after="0" w:line="491" w:lineRule="auto"/>
        <w:jc w:val="both"/>
        <w:rPr>
          <w:sz w:val="22"/>
        </w:rPr>
        <w:sectPr>
          <w:pgSz w:w="12240" w:h="15840"/>
          <w:pgMar w:header="0" w:footer="790" w:top="1500" w:bottom="980" w:left="1720" w:right="1200"/>
        </w:sectPr>
      </w:pPr>
    </w:p>
    <w:p>
      <w:pPr>
        <w:pStyle w:val="BodyText"/>
        <w:spacing w:before="105"/>
        <w:ind w:left="400"/>
      </w:pPr>
      <w:r>
        <w:rPr>
          <w:w w:val="105"/>
        </w:rPr>
        <w:t>di concordato preventivo;</w:t>
      </w:r>
    </w:p>
    <w:p>
      <w:pPr>
        <w:pStyle w:val="BodyText"/>
        <w:rPr>
          <w:sz w:val="23"/>
        </w:rPr>
      </w:pPr>
    </w:p>
    <w:p>
      <w:pPr>
        <w:pStyle w:val="ListParagraph"/>
        <w:numPr>
          <w:ilvl w:val="2"/>
          <w:numId w:val="3"/>
        </w:numPr>
        <w:tabs>
          <w:tab w:pos="966" w:val="left" w:leader="none"/>
        </w:tabs>
        <w:spacing w:line="491" w:lineRule="auto" w:before="0" w:after="0"/>
        <w:ind w:left="400" w:right="2197" w:firstLine="338"/>
        <w:jc w:val="both"/>
        <w:rPr>
          <w:sz w:val="22"/>
        </w:rPr>
      </w:pPr>
      <w:r>
        <w:rPr>
          <w:w w:val="105"/>
          <w:sz w:val="22"/>
        </w:rPr>
        <w:t>in data 16 ottobre 2017, la Società ha depositato ricorso per l’ammissione alla procedura di concordato preventivo ai sensi dell’art. 161, comma</w:t>
      </w:r>
      <w:r>
        <w:rPr>
          <w:spacing w:val="-19"/>
          <w:w w:val="105"/>
          <w:sz w:val="22"/>
        </w:rPr>
        <w:t> </w:t>
      </w:r>
      <w:r>
        <w:rPr>
          <w:w w:val="105"/>
          <w:sz w:val="22"/>
        </w:rPr>
        <w:t>6,</w:t>
      </w:r>
      <w:r>
        <w:rPr>
          <w:spacing w:val="-18"/>
          <w:w w:val="105"/>
          <w:sz w:val="22"/>
        </w:rPr>
        <w:t> </w:t>
      </w:r>
      <w:r>
        <w:rPr>
          <w:w w:val="105"/>
          <w:sz w:val="22"/>
        </w:rPr>
        <w:t>legge</w:t>
      </w:r>
      <w:r>
        <w:rPr>
          <w:spacing w:val="-18"/>
          <w:w w:val="105"/>
          <w:sz w:val="22"/>
        </w:rPr>
        <w:t> </w:t>
      </w:r>
      <w:r>
        <w:rPr>
          <w:w w:val="105"/>
          <w:sz w:val="22"/>
        </w:rPr>
        <w:t>fall.</w:t>
      </w:r>
      <w:r>
        <w:rPr>
          <w:spacing w:val="-18"/>
          <w:w w:val="105"/>
          <w:sz w:val="22"/>
        </w:rPr>
        <w:t> </w:t>
      </w:r>
      <w:r>
        <w:rPr>
          <w:w w:val="105"/>
          <w:sz w:val="22"/>
        </w:rPr>
        <w:t>(il</w:t>
      </w:r>
      <w:r>
        <w:rPr>
          <w:spacing w:val="-17"/>
          <w:w w:val="105"/>
          <w:sz w:val="22"/>
        </w:rPr>
        <w:t> </w:t>
      </w:r>
      <w:r>
        <w:rPr>
          <w:w w:val="105"/>
          <w:sz w:val="22"/>
        </w:rPr>
        <w:t>“</w:t>
      </w:r>
      <w:r>
        <w:rPr>
          <w:b/>
          <w:w w:val="105"/>
          <w:sz w:val="22"/>
        </w:rPr>
        <w:t>Ricorso</w:t>
      </w:r>
      <w:r>
        <w:rPr>
          <w:w w:val="105"/>
          <w:sz w:val="22"/>
        </w:rPr>
        <w:t>”);</w:t>
      </w:r>
    </w:p>
    <w:p>
      <w:pPr>
        <w:pStyle w:val="ListParagraph"/>
        <w:numPr>
          <w:ilvl w:val="2"/>
          <w:numId w:val="3"/>
        </w:numPr>
        <w:tabs>
          <w:tab w:pos="966" w:val="left" w:leader="none"/>
        </w:tabs>
        <w:spacing w:line="489" w:lineRule="auto" w:before="0" w:after="0"/>
        <w:ind w:left="400" w:right="2195" w:firstLine="338"/>
        <w:jc w:val="both"/>
        <w:rPr>
          <w:sz w:val="22"/>
        </w:rPr>
      </w:pPr>
      <w:r>
        <w:rPr>
          <w:w w:val="105"/>
          <w:sz w:val="22"/>
        </w:rPr>
        <w:t>in pari data, anche le altre società del Gruppo Mossi Ghisolfi, ricomprese nell’area di attività di produzione di bioetanolo di seconda generazione, attesa la natura unitaria e inscindibile che caratterizza tale attività e l’organizzazione del Gruppo</w:t>
      </w:r>
      <w:r>
        <w:rPr>
          <w:w w:val="105"/>
          <w:position w:val="9"/>
          <w:sz w:val="13"/>
        </w:rPr>
        <w:t>1</w:t>
      </w:r>
      <w:r>
        <w:rPr>
          <w:w w:val="105"/>
          <w:sz w:val="22"/>
        </w:rPr>
        <w:t>, hanno depositato autonomi ricorsi per l’ammissione alla procedura di concordato preventivo ai sensi dell’art. 161,</w:t>
      </w:r>
      <w:r>
        <w:rPr>
          <w:spacing w:val="-16"/>
          <w:w w:val="105"/>
          <w:sz w:val="22"/>
        </w:rPr>
        <w:t> </w:t>
      </w:r>
      <w:r>
        <w:rPr>
          <w:w w:val="105"/>
          <w:sz w:val="22"/>
        </w:rPr>
        <w:t>comma</w:t>
      </w:r>
      <w:r>
        <w:rPr>
          <w:spacing w:val="-17"/>
          <w:w w:val="105"/>
          <w:sz w:val="22"/>
        </w:rPr>
        <w:t> </w:t>
      </w:r>
      <w:r>
        <w:rPr>
          <w:w w:val="105"/>
          <w:sz w:val="22"/>
        </w:rPr>
        <w:t>6,</w:t>
      </w:r>
      <w:r>
        <w:rPr>
          <w:spacing w:val="-16"/>
          <w:w w:val="105"/>
          <w:sz w:val="22"/>
        </w:rPr>
        <w:t> </w:t>
      </w:r>
      <w:r>
        <w:rPr>
          <w:w w:val="105"/>
          <w:sz w:val="22"/>
        </w:rPr>
        <w:t>legge</w:t>
      </w:r>
      <w:r>
        <w:rPr>
          <w:spacing w:val="-16"/>
          <w:w w:val="105"/>
          <w:sz w:val="22"/>
        </w:rPr>
        <w:t> </w:t>
      </w:r>
      <w:r>
        <w:rPr>
          <w:w w:val="105"/>
          <w:sz w:val="22"/>
        </w:rPr>
        <w:t>fall..</w:t>
      </w:r>
    </w:p>
    <w:p>
      <w:pPr>
        <w:pStyle w:val="ListParagraph"/>
        <w:numPr>
          <w:ilvl w:val="2"/>
          <w:numId w:val="3"/>
        </w:numPr>
        <w:tabs>
          <w:tab w:pos="966" w:val="left" w:leader="none"/>
        </w:tabs>
        <w:spacing w:line="491" w:lineRule="auto" w:before="4" w:after="0"/>
        <w:ind w:left="400" w:right="2197" w:firstLine="338"/>
        <w:jc w:val="both"/>
        <w:rPr>
          <w:sz w:val="22"/>
        </w:rPr>
      </w:pPr>
      <w:r>
        <w:rPr>
          <w:w w:val="105"/>
          <w:sz w:val="22"/>
        </w:rPr>
        <w:t>la Società, nei due anni precedenti al deposito del Ricorso, non ha presentato</w:t>
      </w:r>
      <w:r>
        <w:rPr>
          <w:spacing w:val="-15"/>
          <w:w w:val="105"/>
          <w:sz w:val="22"/>
        </w:rPr>
        <w:t> </w:t>
      </w:r>
      <w:r>
        <w:rPr>
          <w:w w:val="105"/>
          <w:sz w:val="22"/>
        </w:rPr>
        <w:t>altra</w:t>
      </w:r>
      <w:r>
        <w:rPr>
          <w:spacing w:val="-16"/>
          <w:w w:val="105"/>
          <w:sz w:val="22"/>
        </w:rPr>
        <w:t> </w:t>
      </w:r>
      <w:r>
        <w:rPr>
          <w:w w:val="105"/>
          <w:sz w:val="22"/>
        </w:rPr>
        <w:t>domanda</w:t>
      </w:r>
      <w:r>
        <w:rPr>
          <w:spacing w:val="-16"/>
          <w:w w:val="105"/>
          <w:sz w:val="22"/>
        </w:rPr>
        <w:t> </w:t>
      </w:r>
      <w:r>
        <w:rPr>
          <w:w w:val="105"/>
          <w:sz w:val="22"/>
        </w:rPr>
        <w:t>ai</w:t>
      </w:r>
      <w:r>
        <w:rPr>
          <w:spacing w:val="-16"/>
          <w:w w:val="105"/>
          <w:sz w:val="22"/>
        </w:rPr>
        <w:t> </w:t>
      </w:r>
      <w:r>
        <w:rPr>
          <w:w w:val="105"/>
          <w:sz w:val="22"/>
        </w:rPr>
        <w:t>sensi</w:t>
      </w:r>
      <w:r>
        <w:rPr>
          <w:spacing w:val="-16"/>
          <w:w w:val="105"/>
          <w:sz w:val="22"/>
        </w:rPr>
        <w:t> </w:t>
      </w:r>
      <w:r>
        <w:rPr>
          <w:w w:val="105"/>
          <w:sz w:val="22"/>
        </w:rPr>
        <w:t>dell’art.</w:t>
      </w:r>
      <w:r>
        <w:rPr>
          <w:spacing w:val="-16"/>
          <w:w w:val="105"/>
          <w:sz w:val="22"/>
        </w:rPr>
        <w:t> </w:t>
      </w:r>
      <w:r>
        <w:rPr>
          <w:w w:val="105"/>
          <w:sz w:val="22"/>
        </w:rPr>
        <w:t>161,</w:t>
      </w:r>
      <w:r>
        <w:rPr>
          <w:spacing w:val="-16"/>
          <w:w w:val="105"/>
          <w:sz w:val="22"/>
        </w:rPr>
        <w:t> </w:t>
      </w:r>
      <w:r>
        <w:rPr>
          <w:w w:val="105"/>
          <w:sz w:val="22"/>
        </w:rPr>
        <w:t>comma</w:t>
      </w:r>
      <w:r>
        <w:rPr>
          <w:spacing w:val="-16"/>
          <w:w w:val="105"/>
          <w:sz w:val="22"/>
        </w:rPr>
        <w:t> </w:t>
      </w:r>
      <w:r>
        <w:rPr>
          <w:w w:val="105"/>
          <w:sz w:val="22"/>
        </w:rPr>
        <w:t>6,</w:t>
      </w:r>
      <w:r>
        <w:rPr>
          <w:spacing w:val="-16"/>
          <w:w w:val="105"/>
          <w:sz w:val="22"/>
        </w:rPr>
        <w:t> </w:t>
      </w:r>
      <w:r>
        <w:rPr>
          <w:w w:val="105"/>
          <w:sz w:val="22"/>
        </w:rPr>
        <w:t>legge</w:t>
      </w:r>
      <w:r>
        <w:rPr>
          <w:spacing w:val="-16"/>
          <w:w w:val="105"/>
          <w:sz w:val="22"/>
        </w:rPr>
        <w:t> </w:t>
      </w:r>
      <w:r>
        <w:rPr>
          <w:w w:val="105"/>
          <w:sz w:val="22"/>
        </w:rPr>
        <w:t>fall.;</w:t>
      </w:r>
    </w:p>
    <w:p>
      <w:pPr>
        <w:pStyle w:val="ListParagraph"/>
        <w:numPr>
          <w:ilvl w:val="2"/>
          <w:numId w:val="3"/>
        </w:numPr>
        <w:tabs>
          <w:tab w:pos="966" w:val="left" w:leader="none"/>
        </w:tabs>
        <w:spacing w:line="240" w:lineRule="auto" w:before="0" w:after="0"/>
        <w:ind w:left="965" w:right="0" w:hanging="227"/>
        <w:jc w:val="left"/>
        <w:rPr>
          <w:sz w:val="22"/>
        </w:rPr>
      </w:pPr>
      <w:r>
        <w:rPr>
          <w:w w:val="105"/>
          <w:sz w:val="22"/>
        </w:rPr>
        <w:t>con</w:t>
      </w:r>
      <w:r>
        <w:rPr>
          <w:spacing w:val="-4"/>
          <w:w w:val="105"/>
          <w:sz w:val="22"/>
        </w:rPr>
        <w:t> </w:t>
      </w:r>
      <w:r>
        <w:rPr>
          <w:w w:val="105"/>
          <w:sz w:val="22"/>
        </w:rPr>
        <w:t>decreto</w:t>
      </w:r>
      <w:r>
        <w:rPr>
          <w:spacing w:val="-4"/>
          <w:w w:val="105"/>
          <w:sz w:val="22"/>
        </w:rPr>
        <w:t> </w:t>
      </w:r>
      <w:r>
        <w:rPr>
          <w:w w:val="105"/>
          <w:sz w:val="22"/>
        </w:rPr>
        <w:t>in</w:t>
      </w:r>
      <w:r>
        <w:rPr>
          <w:spacing w:val="-4"/>
          <w:w w:val="105"/>
          <w:sz w:val="22"/>
        </w:rPr>
        <w:t> </w:t>
      </w:r>
      <w:r>
        <w:rPr>
          <w:w w:val="105"/>
          <w:sz w:val="22"/>
        </w:rPr>
        <w:t>data</w:t>
      </w:r>
      <w:r>
        <w:rPr>
          <w:spacing w:val="-5"/>
          <w:w w:val="105"/>
          <w:sz w:val="22"/>
        </w:rPr>
        <w:t> </w:t>
      </w:r>
      <w:r>
        <w:rPr>
          <w:w w:val="105"/>
          <w:sz w:val="22"/>
        </w:rPr>
        <w:t>24</w:t>
      </w:r>
      <w:r>
        <w:rPr>
          <w:spacing w:val="-5"/>
          <w:w w:val="105"/>
          <w:sz w:val="22"/>
        </w:rPr>
        <w:t> </w:t>
      </w:r>
      <w:r>
        <w:rPr>
          <w:w w:val="105"/>
          <w:sz w:val="22"/>
        </w:rPr>
        <w:t>ottobre</w:t>
      </w:r>
      <w:r>
        <w:rPr>
          <w:spacing w:val="-5"/>
          <w:w w:val="105"/>
          <w:sz w:val="22"/>
        </w:rPr>
        <w:t> </w:t>
      </w:r>
      <w:r>
        <w:rPr>
          <w:w w:val="105"/>
          <w:sz w:val="22"/>
        </w:rPr>
        <w:t>2017,</w:t>
      </w:r>
      <w:r>
        <w:rPr>
          <w:spacing w:val="-5"/>
          <w:w w:val="105"/>
          <w:sz w:val="22"/>
        </w:rPr>
        <w:t> </w:t>
      </w:r>
      <w:r>
        <w:rPr>
          <w:w w:val="105"/>
          <w:sz w:val="22"/>
        </w:rPr>
        <w:t>depositato</w:t>
      </w:r>
      <w:r>
        <w:rPr>
          <w:spacing w:val="-5"/>
          <w:w w:val="105"/>
          <w:sz w:val="22"/>
        </w:rPr>
        <w:t> </w:t>
      </w:r>
      <w:r>
        <w:rPr>
          <w:w w:val="105"/>
          <w:sz w:val="22"/>
        </w:rPr>
        <w:t>in</w:t>
      </w:r>
      <w:r>
        <w:rPr>
          <w:spacing w:val="-4"/>
          <w:w w:val="105"/>
          <w:sz w:val="22"/>
        </w:rPr>
        <w:t> </w:t>
      </w:r>
      <w:r>
        <w:rPr>
          <w:w w:val="105"/>
          <w:sz w:val="22"/>
        </w:rPr>
        <w:t>Cancelleria</w:t>
      </w:r>
      <w:r>
        <w:rPr>
          <w:spacing w:val="-4"/>
          <w:w w:val="105"/>
          <w:sz w:val="22"/>
        </w:rPr>
        <w:t> </w:t>
      </w:r>
      <w:r>
        <w:rPr>
          <w:w w:val="105"/>
          <w:sz w:val="22"/>
        </w:rPr>
        <w:t>in</w:t>
      </w:r>
      <w:r>
        <w:rPr>
          <w:spacing w:val="-5"/>
          <w:w w:val="105"/>
          <w:sz w:val="22"/>
        </w:rPr>
        <w:t> </w:t>
      </w:r>
      <w:r>
        <w:rPr>
          <w:w w:val="105"/>
          <w:sz w:val="22"/>
        </w:rPr>
        <w:t>data</w:t>
      </w:r>
    </w:p>
    <w:p>
      <w:pPr>
        <w:pStyle w:val="BodyText"/>
        <w:spacing w:before="2"/>
        <w:rPr>
          <w:sz w:val="23"/>
        </w:rPr>
      </w:pPr>
    </w:p>
    <w:p>
      <w:pPr>
        <w:pStyle w:val="BodyText"/>
        <w:spacing w:line="491" w:lineRule="auto"/>
        <w:ind w:left="400" w:right="2200"/>
      </w:pPr>
      <w:r>
        <w:rPr>
          <w:w w:val="105"/>
        </w:rPr>
        <w:t>25 ottobre 2017 e comunicato alla Società in data 26 ottobre 2017 (il “</w:t>
      </w:r>
      <w:r>
        <w:rPr>
          <w:b/>
          <w:w w:val="105"/>
        </w:rPr>
        <w:t>Decreto</w:t>
      </w:r>
      <w:r>
        <w:rPr>
          <w:w w:val="105"/>
        </w:rPr>
        <w:t>”), codesto Ill.mo Tribunale ha:</w:t>
      </w:r>
    </w:p>
    <w:p>
      <w:pPr>
        <w:pStyle w:val="ListParagraph"/>
        <w:numPr>
          <w:ilvl w:val="0"/>
          <w:numId w:val="4"/>
        </w:numPr>
        <w:tabs>
          <w:tab w:pos="1079" w:val="left" w:leader="none"/>
        </w:tabs>
        <w:spacing w:line="491" w:lineRule="auto" w:before="0" w:after="0"/>
        <w:ind w:left="1078" w:right="2195" w:hanging="340"/>
        <w:jc w:val="both"/>
        <w:rPr>
          <w:sz w:val="22"/>
        </w:rPr>
      </w:pPr>
      <w:r>
        <w:rPr>
          <w:w w:val="105"/>
          <w:sz w:val="22"/>
        </w:rPr>
        <w:t>concesso termine di 120 giorni</w:t>
      </w:r>
      <w:r>
        <w:rPr>
          <w:w w:val="105"/>
          <w:position w:val="9"/>
          <w:sz w:val="13"/>
        </w:rPr>
        <w:t>2 </w:t>
      </w:r>
      <w:r>
        <w:rPr>
          <w:w w:val="105"/>
          <w:sz w:val="22"/>
        </w:rPr>
        <w:t>dal 25 ottobre 2017, ex art. 161, sesto comma, l. fall., per il deposito del piano (il “</w:t>
      </w:r>
      <w:r>
        <w:rPr>
          <w:b/>
          <w:w w:val="105"/>
          <w:sz w:val="22"/>
        </w:rPr>
        <w:t>Piano</w:t>
      </w:r>
      <w:r>
        <w:rPr>
          <w:w w:val="105"/>
          <w:sz w:val="22"/>
        </w:rPr>
        <w:t>”) e della proposta di concordato (la “</w:t>
      </w:r>
      <w:r>
        <w:rPr>
          <w:b/>
          <w:w w:val="105"/>
          <w:sz w:val="22"/>
        </w:rPr>
        <w:t>Proposta</w:t>
      </w:r>
      <w:r>
        <w:rPr>
          <w:w w:val="105"/>
          <w:sz w:val="22"/>
        </w:rPr>
        <w:t>”), nonché della documentazione prevista dai commi secondo e terzo del medesimo art. 161 l.</w:t>
      </w:r>
      <w:r>
        <w:rPr>
          <w:spacing w:val="-38"/>
          <w:w w:val="105"/>
          <w:sz w:val="22"/>
        </w:rPr>
        <w:t> </w:t>
      </w:r>
      <w:r>
        <w:rPr>
          <w:w w:val="105"/>
          <w:sz w:val="22"/>
        </w:rPr>
        <w:t>fall.;</w:t>
      </w:r>
    </w:p>
    <w:p>
      <w:pPr>
        <w:pStyle w:val="ListParagraph"/>
        <w:numPr>
          <w:ilvl w:val="0"/>
          <w:numId w:val="4"/>
        </w:numPr>
        <w:tabs>
          <w:tab w:pos="1078" w:val="left" w:leader="none"/>
          <w:tab w:pos="1079" w:val="left" w:leader="none"/>
        </w:tabs>
        <w:spacing w:line="240" w:lineRule="auto" w:before="12" w:after="0"/>
        <w:ind w:left="1078" w:right="0" w:hanging="340"/>
        <w:jc w:val="left"/>
        <w:rPr>
          <w:sz w:val="22"/>
        </w:rPr>
      </w:pPr>
      <w:r>
        <w:rPr>
          <w:w w:val="105"/>
          <w:sz w:val="22"/>
        </w:rPr>
        <w:t>nominato Commissari Giudiziali i Signori dott. Claudio   </w:t>
      </w:r>
      <w:r>
        <w:rPr>
          <w:spacing w:val="51"/>
          <w:w w:val="105"/>
          <w:sz w:val="22"/>
        </w:rPr>
        <w:t> </w:t>
      </w:r>
      <w:r>
        <w:rPr>
          <w:w w:val="105"/>
          <w:sz w:val="22"/>
        </w:rPr>
        <w:t>Ferrario,</w:t>
      </w:r>
    </w:p>
    <w:p>
      <w:pPr>
        <w:pStyle w:val="BodyText"/>
        <w:spacing w:before="5"/>
        <w:rPr>
          <w:sz w:val="15"/>
        </w:rPr>
      </w:pPr>
      <w:r>
        <w:rPr/>
        <w:pict>
          <v:line style="position:absolute;mso-position-horizontal-relative:page;mso-position-vertical-relative:paragraph;z-index:1072;mso-wrap-distance-left:0;mso-wrap-distance-right:0" from="106.019997pt,10.906949pt" to="241.499997pt,10.906949pt" stroked="true" strokeweight=".48pt" strokecolor="#000000">
            <v:stroke dashstyle="solid"/>
            <w10:wrap type="topAndBottom"/>
          </v:line>
        </w:pict>
      </w:r>
    </w:p>
    <w:p>
      <w:pPr>
        <w:spacing w:before="50"/>
        <w:ind w:left="400" w:right="2196" w:firstLine="0"/>
        <w:jc w:val="both"/>
        <w:rPr>
          <w:sz w:val="17"/>
        </w:rPr>
      </w:pPr>
      <w:r>
        <w:rPr>
          <w:position w:val="4"/>
          <w:sz w:val="11"/>
        </w:rPr>
        <w:t>1 </w:t>
      </w:r>
      <w:r>
        <w:rPr>
          <w:sz w:val="17"/>
        </w:rPr>
        <w:t>Ossia Mossi &amp; Ghisolfi S.p.A. (“</w:t>
      </w:r>
      <w:r>
        <w:rPr>
          <w:b/>
          <w:sz w:val="17"/>
        </w:rPr>
        <w:t>M&amp;G</w:t>
      </w:r>
      <w:r>
        <w:rPr>
          <w:sz w:val="17"/>
        </w:rPr>
        <w:t>”), M&amp;G Finanziaria S.p.A. (“</w:t>
      </w:r>
      <w:r>
        <w:rPr>
          <w:b/>
          <w:sz w:val="17"/>
        </w:rPr>
        <w:t>M&amp;G Finanziaria</w:t>
      </w:r>
      <w:r>
        <w:rPr>
          <w:sz w:val="17"/>
        </w:rPr>
        <w:t>”), Italian Bio Products S.r.l. (“</w:t>
      </w:r>
      <w:r>
        <w:rPr>
          <w:b/>
          <w:sz w:val="17"/>
        </w:rPr>
        <w:t>IBP</w:t>
      </w:r>
      <w:r>
        <w:rPr>
          <w:sz w:val="17"/>
        </w:rPr>
        <w:t>”), Beta Renewables S.p.A. (“</w:t>
      </w:r>
      <w:r>
        <w:rPr>
          <w:b/>
          <w:sz w:val="17"/>
        </w:rPr>
        <w:t>Beta Renewables</w:t>
      </w:r>
      <w:r>
        <w:rPr>
          <w:sz w:val="17"/>
        </w:rPr>
        <w:t>”), IBP Energia S.r.l. (“</w:t>
      </w:r>
      <w:r>
        <w:rPr>
          <w:b/>
          <w:sz w:val="17"/>
        </w:rPr>
        <w:t>IBP Energia</w:t>
      </w:r>
      <w:r>
        <w:rPr>
          <w:sz w:val="17"/>
        </w:rPr>
        <w:t>”), M&amp;G Polimeri S.p.A. a socio unico (“</w:t>
      </w:r>
      <w:r>
        <w:rPr>
          <w:b/>
          <w:sz w:val="17"/>
        </w:rPr>
        <w:t>M&amp;G Polimeri</w:t>
      </w:r>
      <w:r>
        <w:rPr>
          <w:sz w:val="17"/>
        </w:rPr>
        <w:t>”) e Acetati Immobiliare S.p.A. (“</w:t>
      </w:r>
      <w:r>
        <w:rPr>
          <w:b/>
          <w:sz w:val="17"/>
        </w:rPr>
        <w:t>Acetati</w:t>
      </w:r>
      <w:r>
        <w:rPr>
          <w:sz w:val="17"/>
        </w:rPr>
        <w:t>”; di seguito, ove congiuntamente, le “</w:t>
      </w:r>
      <w:r>
        <w:rPr>
          <w:b/>
          <w:sz w:val="17"/>
        </w:rPr>
        <w:t>Società del Gruppo M&amp;G</w:t>
      </w:r>
      <w:r>
        <w:rPr>
          <w:sz w:val="17"/>
        </w:rPr>
        <w:t>”, oppure, le “</w:t>
      </w:r>
      <w:r>
        <w:rPr>
          <w:b/>
          <w:sz w:val="17"/>
        </w:rPr>
        <w:t>Società</w:t>
      </w:r>
      <w:r>
        <w:rPr>
          <w:sz w:val="17"/>
        </w:rPr>
        <w:t>”).</w:t>
      </w:r>
    </w:p>
    <w:p>
      <w:pPr>
        <w:spacing w:before="0"/>
        <w:ind w:left="400" w:right="2196" w:firstLine="0"/>
        <w:jc w:val="both"/>
        <w:rPr>
          <w:sz w:val="17"/>
        </w:rPr>
      </w:pPr>
      <w:r>
        <w:rPr>
          <w:position w:val="4"/>
          <w:sz w:val="11"/>
        </w:rPr>
        <w:t>2 </w:t>
      </w:r>
      <w:r>
        <w:rPr>
          <w:sz w:val="17"/>
        </w:rPr>
        <w:t>Si rileva che, con la sola eccezione di IBP, alla quale è stato concesso termine di 60 giorni in quanto pendente procedimento pre-fallimento, anche a tutte le altre società del Gruppo, che hanno contestualmente depositato ricorso per concordato prenotativo, il Tribunale ha concesso termine di 120 giorni.</w:t>
      </w:r>
    </w:p>
    <w:p>
      <w:pPr>
        <w:spacing w:after="0"/>
        <w:jc w:val="both"/>
        <w:rPr>
          <w:sz w:val="17"/>
        </w:rPr>
        <w:sectPr>
          <w:pgSz w:w="12240" w:h="15840"/>
          <w:pgMar w:header="0" w:footer="790" w:top="1500" w:bottom="980" w:left="1720" w:right="1200"/>
        </w:sectPr>
      </w:pPr>
    </w:p>
    <w:p>
      <w:pPr>
        <w:pStyle w:val="BodyText"/>
        <w:spacing w:before="105"/>
        <w:ind w:left="1078"/>
      </w:pPr>
      <w:r>
        <w:rPr>
          <w:w w:val="105"/>
        </w:rPr>
        <w:t>dott. Silvano Cremonesi e dott. Piero Canevelli;</w:t>
      </w:r>
    </w:p>
    <w:p>
      <w:pPr>
        <w:pStyle w:val="BodyText"/>
        <w:rPr>
          <w:sz w:val="23"/>
        </w:rPr>
      </w:pPr>
    </w:p>
    <w:p>
      <w:pPr>
        <w:pStyle w:val="ListParagraph"/>
        <w:numPr>
          <w:ilvl w:val="0"/>
          <w:numId w:val="4"/>
        </w:numPr>
        <w:tabs>
          <w:tab w:pos="1079" w:val="left" w:leader="none"/>
        </w:tabs>
        <w:spacing w:line="494" w:lineRule="auto" w:before="0" w:after="0"/>
        <w:ind w:left="1078" w:right="2197" w:hanging="340"/>
        <w:jc w:val="both"/>
        <w:rPr>
          <w:sz w:val="22"/>
        </w:rPr>
      </w:pPr>
      <w:r>
        <w:rPr>
          <w:w w:val="105"/>
          <w:sz w:val="22"/>
        </w:rPr>
        <w:t>disposto,</w:t>
      </w:r>
      <w:r>
        <w:rPr>
          <w:spacing w:val="-14"/>
          <w:w w:val="105"/>
          <w:sz w:val="22"/>
        </w:rPr>
        <w:t> </w:t>
      </w:r>
      <w:r>
        <w:rPr>
          <w:w w:val="105"/>
          <w:sz w:val="22"/>
        </w:rPr>
        <w:t>per</w:t>
      </w:r>
      <w:r>
        <w:rPr>
          <w:spacing w:val="-14"/>
          <w:w w:val="105"/>
          <w:sz w:val="22"/>
        </w:rPr>
        <w:t> </w:t>
      </w:r>
      <w:r>
        <w:rPr>
          <w:w w:val="105"/>
          <w:sz w:val="22"/>
        </w:rPr>
        <w:t>Biochemtex,</w:t>
      </w:r>
      <w:r>
        <w:rPr>
          <w:spacing w:val="-15"/>
          <w:w w:val="105"/>
          <w:sz w:val="22"/>
        </w:rPr>
        <w:t> </w:t>
      </w:r>
      <w:r>
        <w:rPr>
          <w:w w:val="105"/>
          <w:sz w:val="22"/>
        </w:rPr>
        <w:t>termini</w:t>
      </w:r>
      <w:r>
        <w:rPr>
          <w:spacing w:val="-16"/>
          <w:w w:val="105"/>
          <w:sz w:val="22"/>
        </w:rPr>
        <w:t> </w:t>
      </w:r>
      <w:r>
        <w:rPr>
          <w:w w:val="105"/>
          <w:sz w:val="22"/>
        </w:rPr>
        <w:t>per</w:t>
      </w:r>
      <w:r>
        <w:rPr>
          <w:spacing w:val="-15"/>
          <w:w w:val="105"/>
          <w:sz w:val="22"/>
        </w:rPr>
        <w:t> </w:t>
      </w:r>
      <w:r>
        <w:rPr>
          <w:w w:val="105"/>
          <w:sz w:val="22"/>
        </w:rPr>
        <w:t>il</w:t>
      </w:r>
      <w:r>
        <w:rPr>
          <w:spacing w:val="-15"/>
          <w:w w:val="105"/>
          <w:sz w:val="22"/>
        </w:rPr>
        <w:t> </w:t>
      </w:r>
      <w:r>
        <w:rPr>
          <w:w w:val="105"/>
          <w:sz w:val="22"/>
        </w:rPr>
        <w:t>deposito</w:t>
      </w:r>
      <w:r>
        <w:rPr>
          <w:spacing w:val="-14"/>
          <w:w w:val="105"/>
          <w:sz w:val="22"/>
        </w:rPr>
        <w:t> </w:t>
      </w:r>
      <w:r>
        <w:rPr>
          <w:w w:val="105"/>
          <w:sz w:val="22"/>
        </w:rPr>
        <w:t>di</w:t>
      </w:r>
      <w:r>
        <w:rPr>
          <w:spacing w:val="-15"/>
          <w:w w:val="105"/>
          <w:sz w:val="22"/>
        </w:rPr>
        <w:t> </w:t>
      </w:r>
      <w:r>
        <w:rPr>
          <w:w w:val="105"/>
          <w:sz w:val="22"/>
        </w:rPr>
        <w:t>documentazione e</w:t>
      </w:r>
      <w:r>
        <w:rPr>
          <w:spacing w:val="-31"/>
          <w:w w:val="105"/>
          <w:sz w:val="22"/>
        </w:rPr>
        <w:t> </w:t>
      </w:r>
      <w:r>
        <w:rPr>
          <w:w w:val="105"/>
          <w:sz w:val="22"/>
        </w:rPr>
        <w:t>memorie</w:t>
      </w:r>
      <w:r>
        <w:rPr>
          <w:spacing w:val="-31"/>
          <w:w w:val="105"/>
          <w:sz w:val="22"/>
        </w:rPr>
        <w:t> </w:t>
      </w:r>
      <w:r>
        <w:rPr>
          <w:w w:val="105"/>
          <w:sz w:val="22"/>
        </w:rPr>
        <w:t>informative;</w:t>
      </w:r>
    </w:p>
    <w:p>
      <w:pPr>
        <w:pStyle w:val="ListParagraph"/>
        <w:numPr>
          <w:ilvl w:val="0"/>
          <w:numId w:val="4"/>
        </w:numPr>
        <w:tabs>
          <w:tab w:pos="1079" w:val="left" w:leader="none"/>
        </w:tabs>
        <w:spacing w:line="491" w:lineRule="auto" w:before="0" w:after="0"/>
        <w:ind w:left="1078" w:right="2196" w:hanging="340"/>
        <w:jc w:val="both"/>
        <w:rPr>
          <w:sz w:val="22"/>
        </w:rPr>
      </w:pPr>
      <w:r>
        <w:rPr>
          <w:w w:val="105"/>
          <w:sz w:val="22"/>
        </w:rPr>
        <w:t>disposto che Biochemtex, con cadenza quindicinale, provveda al deposito di </w:t>
      </w:r>
      <w:r>
        <w:rPr>
          <w:i/>
          <w:w w:val="105"/>
          <w:sz w:val="22"/>
        </w:rPr>
        <w:t>“(…) una relazione attestante l’attività compiuta ai fini della </w:t>
      </w:r>
      <w:r>
        <w:rPr>
          <w:i/>
          <w:w w:val="105"/>
          <w:sz w:val="22"/>
        </w:rPr>
        <w:t>predisposizione</w:t>
      </w:r>
      <w:r>
        <w:rPr>
          <w:i/>
          <w:spacing w:val="-19"/>
          <w:w w:val="105"/>
          <w:sz w:val="22"/>
        </w:rPr>
        <w:t> </w:t>
      </w:r>
      <w:r>
        <w:rPr>
          <w:i/>
          <w:w w:val="105"/>
          <w:sz w:val="22"/>
        </w:rPr>
        <w:t>della</w:t>
      </w:r>
      <w:r>
        <w:rPr>
          <w:i/>
          <w:spacing w:val="-19"/>
          <w:w w:val="105"/>
          <w:sz w:val="22"/>
        </w:rPr>
        <w:t> </w:t>
      </w:r>
      <w:r>
        <w:rPr>
          <w:i/>
          <w:w w:val="105"/>
          <w:sz w:val="22"/>
        </w:rPr>
        <w:t>proposta</w:t>
      </w:r>
      <w:r>
        <w:rPr>
          <w:i/>
          <w:spacing w:val="-18"/>
          <w:w w:val="105"/>
          <w:sz w:val="22"/>
        </w:rPr>
        <w:t> </w:t>
      </w:r>
      <w:r>
        <w:rPr>
          <w:i/>
          <w:w w:val="105"/>
          <w:sz w:val="22"/>
        </w:rPr>
        <w:t>e</w:t>
      </w:r>
      <w:r>
        <w:rPr>
          <w:i/>
          <w:spacing w:val="-19"/>
          <w:w w:val="105"/>
          <w:sz w:val="22"/>
        </w:rPr>
        <w:t> </w:t>
      </w:r>
      <w:r>
        <w:rPr>
          <w:i/>
          <w:w w:val="105"/>
          <w:sz w:val="22"/>
        </w:rPr>
        <w:t>del</w:t>
      </w:r>
      <w:r>
        <w:rPr>
          <w:i/>
          <w:spacing w:val="-19"/>
          <w:w w:val="105"/>
          <w:sz w:val="22"/>
        </w:rPr>
        <w:t> </w:t>
      </w:r>
      <w:r>
        <w:rPr>
          <w:i/>
          <w:w w:val="105"/>
          <w:sz w:val="22"/>
        </w:rPr>
        <w:t>piano</w:t>
      </w:r>
      <w:r>
        <w:rPr>
          <w:i/>
          <w:spacing w:val="-19"/>
          <w:w w:val="105"/>
          <w:sz w:val="22"/>
        </w:rPr>
        <w:t> </w:t>
      </w:r>
      <w:r>
        <w:rPr>
          <w:i/>
          <w:w w:val="105"/>
          <w:sz w:val="22"/>
        </w:rPr>
        <w:t>(…)</w:t>
      </w:r>
      <w:r>
        <w:rPr>
          <w:w w:val="105"/>
          <w:sz w:val="22"/>
        </w:rPr>
        <w:t>”.</w:t>
      </w:r>
    </w:p>
    <w:p>
      <w:pPr>
        <w:pStyle w:val="ListParagraph"/>
        <w:numPr>
          <w:ilvl w:val="2"/>
          <w:numId w:val="3"/>
        </w:numPr>
        <w:tabs>
          <w:tab w:pos="966" w:val="left" w:leader="none"/>
        </w:tabs>
        <w:spacing w:line="491" w:lineRule="auto" w:before="3" w:after="0"/>
        <w:ind w:left="400" w:right="2195" w:firstLine="338"/>
        <w:jc w:val="both"/>
        <w:rPr>
          <w:sz w:val="22"/>
        </w:rPr>
      </w:pPr>
      <w:r>
        <w:rPr>
          <w:w w:val="105"/>
          <w:sz w:val="22"/>
        </w:rPr>
        <w:t>in</w:t>
      </w:r>
      <w:r>
        <w:rPr>
          <w:spacing w:val="-8"/>
          <w:w w:val="105"/>
          <w:sz w:val="22"/>
        </w:rPr>
        <w:t> </w:t>
      </w:r>
      <w:r>
        <w:rPr>
          <w:w w:val="105"/>
          <w:sz w:val="22"/>
        </w:rPr>
        <w:t>ottemperanza</w:t>
      </w:r>
      <w:r>
        <w:rPr>
          <w:spacing w:val="-8"/>
          <w:w w:val="105"/>
          <w:sz w:val="22"/>
        </w:rPr>
        <w:t> </w:t>
      </w:r>
      <w:r>
        <w:rPr>
          <w:w w:val="105"/>
          <w:sz w:val="22"/>
        </w:rPr>
        <w:t>a</w:t>
      </w:r>
      <w:r>
        <w:rPr>
          <w:spacing w:val="-8"/>
          <w:w w:val="105"/>
          <w:sz w:val="22"/>
        </w:rPr>
        <w:t> </w:t>
      </w:r>
      <w:r>
        <w:rPr>
          <w:w w:val="105"/>
          <w:sz w:val="22"/>
        </w:rPr>
        <w:t>quanto</w:t>
      </w:r>
      <w:r>
        <w:rPr>
          <w:spacing w:val="-8"/>
          <w:w w:val="105"/>
          <w:sz w:val="22"/>
        </w:rPr>
        <w:t> </w:t>
      </w:r>
      <w:r>
        <w:rPr>
          <w:w w:val="105"/>
          <w:sz w:val="22"/>
        </w:rPr>
        <w:t>richiesto</w:t>
      </w:r>
      <w:r>
        <w:rPr>
          <w:spacing w:val="-8"/>
          <w:w w:val="105"/>
          <w:sz w:val="22"/>
        </w:rPr>
        <w:t> </w:t>
      </w:r>
      <w:r>
        <w:rPr>
          <w:w w:val="105"/>
          <w:sz w:val="22"/>
        </w:rPr>
        <w:t>da</w:t>
      </w:r>
      <w:r>
        <w:rPr>
          <w:spacing w:val="-8"/>
          <w:w w:val="105"/>
          <w:sz w:val="22"/>
        </w:rPr>
        <w:t> </w:t>
      </w:r>
      <w:r>
        <w:rPr>
          <w:w w:val="105"/>
          <w:sz w:val="22"/>
        </w:rPr>
        <w:t>codesto</w:t>
      </w:r>
      <w:r>
        <w:rPr>
          <w:spacing w:val="-9"/>
          <w:w w:val="105"/>
          <w:sz w:val="22"/>
        </w:rPr>
        <w:t> </w:t>
      </w:r>
      <w:r>
        <w:rPr>
          <w:w w:val="105"/>
          <w:sz w:val="22"/>
        </w:rPr>
        <w:t>Illustrissimo</w:t>
      </w:r>
      <w:r>
        <w:rPr>
          <w:spacing w:val="-8"/>
          <w:w w:val="105"/>
          <w:sz w:val="22"/>
        </w:rPr>
        <w:t> </w:t>
      </w:r>
      <w:r>
        <w:rPr>
          <w:w w:val="105"/>
          <w:sz w:val="22"/>
        </w:rPr>
        <w:t>Tribunale ed in ossequio al disposto di cui all’art. 161, comma 8, legge fall., la Società, ha depositato – nel corso di tutta la procedura – le proprie memorie informative</w:t>
      </w:r>
      <w:r>
        <w:rPr>
          <w:spacing w:val="-18"/>
          <w:w w:val="105"/>
          <w:sz w:val="22"/>
        </w:rPr>
        <w:t> </w:t>
      </w:r>
      <w:r>
        <w:rPr>
          <w:w w:val="105"/>
          <w:sz w:val="22"/>
        </w:rPr>
        <w:t>periodiche</w:t>
      </w:r>
      <w:r>
        <w:rPr>
          <w:spacing w:val="-18"/>
          <w:w w:val="105"/>
          <w:sz w:val="22"/>
        </w:rPr>
        <w:t> </w:t>
      </w:r>
      <w:r>
        <w:rPr>
          <w:w w:val="105"/>
          <w:sz w:val="22"/>
        </w:rPr>
        <w:t>ed</w:t>
      </w:r>
      <w:r>
        <w:rPr>
          <w:spacing w:val="-20"/>
          <w:w w:val="105"/>
          <w:sz w:val="22"/>
        </w:rPr>
        <w:t> </w:t>
      </w:r>
      <w:r>
        <w:rPr>
          <w:w w:val="105"/>
          <w:sz w:val="22"/>
        </w:rPr>
        <w:t>ha</w:t>
      </w:r>
      <w:r>
        <w:rPr>
          <w:spacing w:val="-19"/>
          <w:w w:val="105"/>
          <w:sz w:val="22"/>
        </w:rPr>
        <w:t> </w:t>
      </w:r>
      <w:r>
        <w:rPr>
          <w:w w:val="105"/>
          <w:sz w:val="22"/>
        </w:rPr>
        <w:t>regolarmente</w:t>
      </w:r>
      <w:r>
        <w:rPr>
          <w:spacing w:val="-18"/>
          <w:w w:val="105"/>
          <w:sz w:val="22"/>
        </w:rPr>
        <w:t> </w:t>
      </w:r>
      <w:r>
        <w:rPr>
          <w:w w:val="105"/>
          <w:sz w:val="22"/>
        </w:rPr>
        <w:t>e</w:t>
      </w:r>
      <w:r>
        <w:rPr>
          <w:spacing w:val="-18"/>
          <w:w w:val="105"/>
          <w:sz w:val="22"/>
        </w:rPr>
        <w:t> </w:t>
      </w:r>
      <w:r>
        <w:rPr>
          <w:w w:val="105"/>
          <w:sz w:val="22"/>
        </w:rPr>
        <w:t>tempestivamente</w:t>
      </w:r>
      <w:r>
        <w:rPr>
          <w:spacing w:val="-18"/>
          <w:w w:val="105"/>
          <w:sz w:val="22"/>
        </w:rPr>
        <w:t> </w:t>
      </w:r>
      <w:r>
        <w:rPr>
          <w:w w:val="105"/>
          <w:sz w:val="22"/>
        </w:rPr>
        <w:t>provveduto</w:t>
      </w:r>
      <w:r>
        <w:rPr>
          <w:spacing w:val="-20"/>
          <w:w w:val="105"/>
          <w:sz w:val="22"/>
        </w:rPr>
        <w:t> </w:t>
      </w:r>
      <w:r>
        <w:rPr>
          <w:w w:val="105"/>
          <w:sz w:val="22"/>
        </w:rPr>
        <w:t>al deposito</w:t>
      </w:r>
      <w:r>
        <w:rPr>
          <w:spacing w:val="-22"/>
          <w:w w:val="105"/>
          <w:sz w:val="22"/>
        </w:rPr>
        <w:t> </w:t>
      </w:r>
      <w:r>
        <w:rPr>
          <w:w w:val="105"/>
          <w:sz w:val="22"/>
        </w:rPr>
        <w:t>delle</w:t>
      </w:r>
      <w:r>
        <w:rPr>
          <w:spacing w:val="-22"/>
          <w:w w:val="105"/>
          <w:sz w:val="22"/>
        </w:rPr>
        <w:t> </w:t>
      </w:r>
      <w:r>
        <w:rPr>
          <w:w w:val="105"/>
          <w:sz w:val="22"/>
        </w:rPr>
        <w:t>spese</w:t>
      </w:r>
      <w:r>
        <w:rPr>
          <w:spacing w:val="-23"/>
          <w:w w:val="105"/>
          <w:sz w:val="22"/>
        </w:rPr>
        <w:t> </w:t>
      </w:r>
      <w:r>
        <w:rPr>
          <w:w w:val="105"/>
          <w:sz w:val="22"/>
        </w:rPr>
        <w:t>di</w:t>
      </w:r>
      <w:r>
        <w:rPr>
          <w:spacing w:val="-21"/>
          <w:w w:val="105"/>
          <w:sz w:val="22"/>
        </w:rPr>
        <w:t> </w:t>
      </w:r>
      <w:r>
        <w:rPr>
          <w:w w:val="105"/>
          <w:sz w:val="22"/>
        </w:rPr>
        <w:t>giustizia.</w:t>
      </w:r>
    </w:p>
    <w:p>
      <w:pPr>
        <w:pStyle w:val="ListParagraph"/>
        <w:numPr>
          <w:ilvl w:val="2"/>
          <w:numId w:val="3"/>
        </w:numPr>
        <w:tabs>
          <w:tab w:pos="966" w:val="left" w:leader="none"/>
        </w:tabs>
        <w:spacing w:line="489" w:lineRule="auto" w:before="0" w:after="0"/>
        <w:ind w:left="400" w:right="2197" w:firstLine="338"/>
        <w:jc w:val="both"/>
        <w:rPr>
          <w:sz w:val="22"/>
        </w:rPr>
      </w:pPr>
      <w:r>
        <w:rPr>
          <w:w w:val="105"/>
          <w:sz w:val="22"/>
        </w:rPr>
        <w:t>in data 22 febbraio 2018, la Società ha depositato apposita istanza ai sensi dell’art. 161, comma 6, legge fall., al fine di chiedere a codesto Ill.mo Tribunale la concessione di una proroga del termine originariamente concesso,</w:t>
      </w:r>
      <w:r>
        <w:rPr>
          <w:spacing w:val="-33"/>
          <w:w w:val="105"/>
          <w:sz w:val="22"/>
        </w:rPr>
        <w:t> </w:t>
      </w:r>
      <w:r>
        <w:rPr>
          <w:w w:val="105"/>
          <w:sz w:val="22"/>
        </w:rPr>
        <w:t>sussistendone</w:t>
      </w:r>
      <w:r>
        <w:rPr>
          <w:spacing w:val="-32"/>
          <w:w w:val="105"/>
          <w:sz w:val="22"/>
        </w:rPr>
        <w:t> </w:t>
      </w:r>
      <w:r>
        <w:rPr>
          <w:w w:val="105"/>
          <w:sz w:val="22"/>
        </w:rPr>
        <w:t>giustificati</w:t>
      </w:r>
      <w:r>
        <w:rPr>
          <w:spacing w:val="-32"/>
          <w:w w:val="105"/>
          <w:sz w:val="22"/>
        </w:rPr>
        <w:t> </w:t>
      </w:r>
      <w:r>
        <w:rPr>
          <w:w w:val="105"/>
          <w:sz w:val="22"/>
        </w:rPr>
        <w:t>motivi</w:t>
      </w:r>
      <w:r>
        <w:rPr>
          <w:w w:val="105"/>
          <w:position w:val="9"/>
          <w:sz w:val="13"/>
        </w:rPr>
        <w:t>3</w:t>
      </w:r>
      <w:r>
        <w:rPr>
          <w:w w:val="105"/>
          <w:sz w:val="22"/>
        </w:rPr>
        <w:t>;</w:t>
      </w:r>
    </w:p>
    <w:p>
      <w:pPr>
        <w:pStyle w:val="ListParagraph"/>
        <w:numPr>
          <w:ilvl w:val="2"/>
          <w:numId w:val="3"/>
        </w:numPr>
        <w:tabs>
          <w:tab w:pos="1057" w:val="left" w:leader="none"/>
        </w:tabs>
        <w:spacing w:line="239" w:lineRule="exact" w:before="0" w:after="0"/>
        <w:ind w:left="1056" w:right="0" w:hanging="318"/>
        <w:jc w:val="left"/>
        <w:rPr>
          <w:sz w:val="22"/>
        </w:rPr>
      </w:pPr>
      <w:r>
        <w:rPr>
          <w:w w:val="105"/>
          <w:sz w:val="22"/>
        </w:rPr>
        <w:t>con provvedimento reso in data 7 marzo 2018 e comunicato in</w:t>
      </w:r>
      <w:r>
        <w:rPr>
          <w:spacing w:val="-10"/>
          <w:w w:val="105"/>
          <w:sz w:val="22"/>
        </w:rPr>
        <w:t> </w:t>
      </w:r>
      <w:r>
        <w:rPr>
          <w:w w:val="105"/>
          <w:sz w:val="22"/>
        </w:rPr>
        <w:t>data</w:t>
      </w:r>
    </w:p>
    <w:p>
      <w:pPr>
        <w:pStyle w:val="BodyText"/>
        <w:spacing w:before="1"/>
        <w:rPr>
          <w:sz w:val="23"/>
        </w:rPr>
      </w:pPr>
    </w:p>
    <w:p>
      <w:pPr>
        <w:pStyle w:val="BodyText"/>
        <w:spacing w:line="487" w:lineRule="auto"/>
        <w:ind w:left="400" w:right="2194"/>
        <w:jc w:val="both"/>
      </w:pPr>
      <w:r>
        <w:rPr>
          <w:w w:val="105"/>
        </w:rPr>
        <w:t>8 marzo 2018, il Tribunale di Alessandria ha concesso una proroga di ulteriori 60 giorni dallo scadere del termine originario, per il deposito della documentazione prescritta dall’art. 161, commi 2 e 3, legge fall.</w:t>
      </w:r>
      <w:r>
        <w:rPr>
          <w:w w:val="105"/>
          <w:position w:val="9"/>
          <w:sz w:val="13"/>
        </w:rPr>
        <w:t>4</w:t>
      </w:r>
      <w:r>
        <w:rPr>
          <w:w w:val="105"/>
        </w:rPr>
        <w:t>;</w:t>
      </w:r>
    </w:p>
    <w:p>
      <w:pPr>
        <w:pStyle w:val="ListParagraph"/>
        <w:numPr>
          <w:ilvl w:val="2"/>
          <w:numId w:val="3"/>
        </w:numPr>
        <w:tabs>
          <w:tab w:pos="1041" w:val="left" w:leader="none"/>
        </w:tabs>
        <w:spacing w:line="491" w:lineRule="auto" w:before="0" w:after="0"/>
        <w:ind w:left="400" w:right="2194" w:firstLine="338"/>
        <w:jc w:val="both"/>
        <w:rPr>
          <w:sz w:val="22"/>
        </w:rPr>
      </w:pPr>
      <w:r>
        <w:rPr/>
        <w:pict>
          <v:line style="position:absolute;mso-position-horizontal-relative:page;mso-position-vertical-relative:paragraph;z-index:1096;mso-wrap-distance-left:0;mso-wrap-distance-right:0" from="106.019997pt,56.400612pt" to="241.499997pt,56.400612pt" stroked="true" strokeweight=".48pt" strokecolor="#000000">
            <v:stroke dashstyle="solid"/>
            <w10:wrap type="topAndBottom"/>
          </v:line>
        </w:pict>
      </w:r>
      <w:r>
        <w:rPr>
          <w:w w:val="105"/>
          <w:sz w:val="22"/>
        </w:rPr>
        <w:t>in ossequio a quanto previsto dal Decreto, anche nel periodo di proroga,</w:t>
      </w:r>
      <w:r>
        <w:rPr>
          <w:spacing w:val="-22"/>
          <w:w w:val="105"/>
          <w:sz w:val="22"/>
        </w:rPr>
        <w:t> </w:t>
      </w:r>
      <w:r>
        <w:rPr>
          <w:w w:val="105"/>
          <w:sz w:val="22"/>
        </w:rPr>
        <w:t>la</w:t>
      </w:r>
      <w:r>
        <w:rPr>
          <w:spacing w:val="-24"/>
          <w:w w:val="105"/>
          <w:sz w:val="22"/>
        </w:rPr>
        <w:t> </w:t>
      </w:r>
      <w:r>
        <w:rPr>
          <w:w w:val="105"/>
          <w:sz w:val="22"/>
        </w:rPr>
        <w:t>Società</w:t>
      </w:r>
      <w:r>
        <w:rPr>
          <w:spacing w:val="-24"/>
          <w:w w:val="105"/>
          <w:sz w:val="22"/>
        </w:rPr>
        <w:t> </w:t>
      </w:r>
      <w:r>
        <w:rPr>
          <w:w w:val="105"/>
          <w:sz w:val="22"/>
        </w:rPr>
        <w:t>ha</w:t>
      </w:r>
      <w:r>
        <w:rPr>
          <w:spacing w:val="-24"/>
          <w:w w:val="105"/>
          <w:sz w:val="22"/>
        </w:rPr>
        <w:t> </w:t>
      </w:r>
      <w:r>
        <w:rPr>
          <w:w w:val="105"/>
          <w:sz w:val="22"/>
        </w:rPr>
        <w:t>depositato</w:t>
      </w:r>
      <w:r>
        <w:rPr>
          <w:spacing w:val="-24"/>
          <w:w w:val="105"/>
          <w:sz w:val="22"/>
        </w:rPr>
        <w:t> </w:t>
      </w:r>
      <w:r>
        <w:rPr>
          <w:w w:val="105"/>
          <w:sz w:val="22"/>
        </w:rPr>
        <w:t>le</w:t>
      </w:r>
      <w:r>
        <w:rPr>
          <w:spacing w:val="-24"/>
          <w:w w:val="105"/>
          <w:sz w:val="22"/>
        </w:rPr>
        <w:t> </w:t>
      </w:r>
      <w:r>
        <w:rPr>
          <w:w w:val="105"/>
          <w:sz w:val="22"/>
        </w:rPr>
        <w:t>proprie</w:t>
      </w:r>
      <w:r>
        <w:rPr>
          <w:spacing w:val="-24"/>
          <w:w w:val="105"/>
          <w:sz w:val="22"/>
        </w:rPr>
        <w:t> </w:t>
      </w:r>
      <w:r>
        <w:rPr>
          <w:w w:val="105"/>
          <w:sz w:val="22"/>
        </w:rPr>
        <w:t>memorie</w:t>
      </w:r>
      <w:r>
        <w:rPr>
          <w:spacing w:val="-24"/>
          <w:w w:val="105"/>
          <w:sz w:val="22"/>
        </w:rPr>
        <w:t> </w:t>
      </w:r>
      <w:r>
        <w:rPr>
          <w:w w:val="105"/>
          <w:sz w:val="22"/>
        </w:rPr>
        <w:t>informative</w:t>
      </w:r>
      <w:r>
        <w:rPr>
          <w:spacing w:val="-24"/>
          <w:w w:val="105"/>
          <w:sz w:val="22"/>
        </w:rPr>
        <w:t> </w:t>
      </w:r>
      <w:r>
        <w:rPr>
          <w:w w:val="105"/>
          <w:sz w:val="22"/>
        </w:rPr>
        <w:t>periodiche;</w:t>
      </w:r>
    </w:p>
    <w:p>
      <w:pPr>
        <w:spacing w:before="33"/>
        <w:ind w:left="400" w:right="2195" w:firstLine="0"/>
        <w:jc w:val="both"/>
        <w:rPr>
          <w:sz w:val="17"/>
        </w:rPr>
      </w:pPr>
      <w:r>
        <w:rPr>
          <w:rFonts w:ascii="Arial" w:hAnsi="Arial"/>
          <w:position w:val="8"/>
          <w:sz w:val="9"/>
        </w:rPr>
        <w:t>3 </w:t>
      </w:r>
      <w:r>
        <w:rPr>
          <w:sz w:val="17"/>
        </w:rPr>
        <w:t>Si rileva che – fatta eccezione per la sola IBP che, in considerazione del minor termine concesso dal Tribunale a causa della pendenza della procedura prefallimentare, ha depositato il Piano e la Proposta di Concordato Preventivo “pieno” – nella stessa data, anche tutte le altre società del Gruppo M&amp;G hanno depositato analoga richiesta di proroga nelle rispettive Procedure.</w:t>
      </w:r>
    </w:p>
    <w:p>
      <w:pPr>
        <w:spacing w:before="94"/>
        <w:ind w:left="400" w:right="2195" w:firstLine="0"/>
        <w:jc w:val="both"/>
        <w:rPr>
          <w:sz w:val="17"/>
        </w:rPr>
      </w:pPr>
      <w:r>
        <w:rPr>
          <w:rFonts w:ascii="Arial" w:hAnsi="Arial"/>
          <w:position w:val="8"/>
          <w:sz w:val="9"/>
        </w:rPr>
        <w:t>4 </w:t>
      </w:r>
      <w:r>
        <w:rPr>
          <w:sz w:val="17"/>
        </w:rPr>
        <w:t>Lo stesso termine è stato concesso dal Tribunale anche alle altre società del Gruppo M&amp;G che ne avevano fatto richiesta;</w:t>
      </w:r>
    </w:p>
    <w:p>
      <w:pPr>
        <w:spacing w:after="0"/>
        <w:jc w:val="both"/>
        <w:rPr>
          <w:sz w:val="17"/>
        </w:rPr>
        <w:sectPr>
          <w:pgSz w:w="12240" w:h="15840"/>
          <w:pgMar w:header="0" w:footer="790" w:top="1500" w:bottom="980" w:left="1720" w:right="1200"/>
        </w:sectPr>
      </w:pPr>
    </w:p>
    <w:p>
      <w:pPr>
        <w:pStyle w:val="ListParagraph"/>
        <w:numPr>
          <w:ilvl w:val="2"/>
          <w:numId w:val="3"/>
        </w:numPr>
        <w:tabs>
          <w:tab w:pos="1057" w:val="left" w:leader="none"/>
        </w:tabs>
        <w:spacing w:line="491" w:lineRule="auto" w:before="105" w:after="0"/>
        <w:ind w:left="400" w:right="2195" w:firstLine="338"/>
        <w:jc w:val="both"/>
        <w:rPr>
          <w:sz w:val="22"/>
        </w:rPr>
      </w:pPr>
      <w:r>
        <w:rPr>
          <w:w w:val="105"/>
          <w:sz w:val="22"/>
        </w:rPr>
        <w:t>come dettagliatamente riportato nelle memorie informative e nell’istanza di proroga, Mediobanca Banca di Credito Finanziario S.p.A. (“</w:t>
      </w:r>
      <w:r>
        <w:rPr>
          <w:b/>
          <w:w w:val="105"/>
          <w:sz w:val="22"/>
        </w:rPr>
        <w:t>Mediobanca</w:t>
      </w:r>
      <w:r>
        <w:rPr>
          <w:w w:val="105"/>
          <w:sz w:val="22"/>
        </w:rPr>
        <w:t>”), in esecuzione del mandato affidatole dal Gruppo (che</w:t>
      </w:r>
      <w:r>
        <w:rPr>
          <w:spacing w:val="-29"/>
          <w:w w:val="105"/>
          <w:sz w:val="22"/>
        </w:rPr>
        <w:t> </w:t>
      </w:r>
      <w:r>
        <w:rPr>
          <w:w w:val="105"/>
          <w:sz w:val="22"/>
        </w:rPr>
        <w:t>ha visto una significativa riduzione del compenso originariamente pattuito),</w:t>
      </w:r>
      <w:r>
        <w:rPr>
          <w:spacing w:val="-29"/>
          <w:w w:val="105"/>
          <w:sz w:val="22"/>
        </w:rPr>
        <w:t> </w:t>
      </w:r>
      <w:r>
        <w:rPr>
          <w:w w:val="105"/>
          <w:sz w:val="22"/>
        </w:rPr>
        <w:t>ha interloquito</w:t>
      </w:r>
      <w:r>
        <w:rPr>
          <w:spacing w:val="-6"/>
          <w:w w:val="105"/>
          <w:sz w:val="22"/>
        </w:rPr>
        <w:t> </w:t>
      </w:r>
      <w:r>
        <w:rPr>
          <w:w w:val="105"/>
          <w:sz w:val="22"/>
        </w:rPr>
        <w:t>con</w:t>
      </w:r>
      <w:r>
        <w:rPr>
          <w:spacing w:val="-6"/>
          <w:w w:val="105"/>
          <w:sz w:val="22"/>
        </w:rPr>
        <w:t> </w:t>
      </w:r>
      <w:r>
        <w:rPr>
          <w:w w:val="105"/>
          <w:sz w:val="22"/>
        </w:rPr>
        <w:t>i</w:t>
      </w:r>
      <w:r>
        <w:rPr>
          <w:spacing w:val="-6"/>
          <w:w w:val="105"/>
          <w:sz w:val="22"/>
        </w:rPr>
        <w:t> </w:t>
      </w:r>
      <w:r>
        <w:rPr>
          <w:w w:val="105"/>
          <w:sz w:val="22"/>
        </w:rPr>
        <w:t>principali</w:t>
      </w:r>
      <w:r>
        <w:rPr>
          <w:spacing w:val="-6"/>
          <w:w w:val="105"/>
          <w:sz w:val="22"/>
        </w:rPr>
        <w:t> </w:t>
      </w:r>
      <w:r>
        <w:rPr>
          <w:w w:val="105"/>
          <w:sz w:val="22"/>
        </w:rPr>
        <w:t>creditori</w:t>
      </w:r>
      <w:r>
        <w:rPr>
          <w:spacing w:val="-6"/>
          <w:w w:val="105"/>
          <w:sz w:val="22"/>
        </w:rPr>
        <w:t> </w:t>
      </w:r>
      <w:r>
        <w:rPr>
          <w:w w:val="105"/>
          <w:sz w:val="22"/>
        </w:rPr>
        <w:t>di</w:t>
      </w:r>
      <w:r>
        <w:rPr>
          <w:spacing w:val="-6"/>
          <w:w w:val="105"/>
          <w:sz w:val="22"/>
        </w:rPr>
        <w:t> </w:t>
      </w:r>
      <w:r>
        <w:rPr>
          <w:w w:val="105"/>
          <w:sz w:val="22"/>
        </w:rPr>
        <w:t>Biochemtex</w:t>
      </w:r>
      <w:r>
        <w:rPr>
          <w:spacing w:val="-6"/>
          <w:w w:val="105"/>
          <w:sz w:val="22"/>
        </w:rPr>
        <w:t> </w:t>
      </w:r>
      <w:r>
        <w:rPr>
          <w:w w:val="105"/>
          <w:sz w:val="22"/>
        </w:rPr>
        <w:t>(e</w:t>
      </w:r>
      <w:r>
        <w:rPr>
          <w:spacing w:val="-6"/>
          <w:w w:val="105"/>
          <w:sz w:val="22"/>
        </w:rPr>
        <w:t> </w:t>
      </w:r>
      <w:r>
        <w:rPr>
          <w:w w:val="105"/>
          <w:sz w:val="22"/>
        </w:rPr>
        <w:t>delle</w:t>
      </w:r>
      <w:r>
        <w:rPr>
          <w:spacing w:val="-5"/>
          <w:w w:val="105"/>
          <w:sz w:val="22"/>
        </w:rPr>
        <w:t> </w:t>
      </w:r>
      <w:r>
        <w:rPr>
          <w:w w:val="105"/>
          <w:sz w:val="22"/>
        </w:rPr>
        <w:t>altre</w:t>
      </w:r>
      <w:r>
        <w:rPr>
          <w:spacing w:val="-6"/>
          <w:w w:val="105"/>
          <w:sz w:val="22"/>
        </w:rPr>
        <w:t> </w:t>
      </w:r>
      <w:r>
        <w:rPr>
          <w:w w:val="105"/>
          <w:sz w:val="22"/>
        </w:rPr>
        <w:t>Società</w:t>
      </w:r>
      <w:r>
        <w:rPr>
          <w:spacing w:val="-6"/>
          <w:w w:val="105"/>
          <w:sz w:val="22"/>
        </w:rPr>
        <w:t> </w:t>
      </w:r>
      <w:r>
        <w:rPr>
          <w:w w:val="105"/>
          <w:sz w:val="22"/>
        </w:rPr>
        <w:t>del Gruppo) e con quei soggetti che, a ridosso dell’apertura della Procedura, avevano</w:t>
      </w:r>
      <w:r>
        <w:rPr>
          <w:spacing w:val="-10"/>
          <w:w w:val="105"/>
          <w:sz w:val="22"/>
        </w:rPr>
        <w:t> </w:t>
      </w:r>
      <w:r>
        <w:rPr>
          <w:w w:val="105"/>
          <w:sz w:val="22"/>
        </w:rPr>
        <w:t>manifestato</w:t>
      </w:r>
      <w:r>
        <w:rPr>
          <w:spacing w:val="-8"/>
          <w:w w:val="105"/>
          <w:sz w:val="22"/>
        </w:rPr>
        <w:t> </w:t>
      </w:r>
      <w:r>
        <w:rPr>
          <w:w w:val="105"/>
          <w:sz w:val="22"/>
        </w:rPr>
        <w:t>il</w:t>
      </w:r>
      <w:r>
        <w:rPr>
          <w:spacing w:val="-10"/>
          <w:w w:val="105"/>
          <w:sz w:val="22"/>
        </w:rPr>
        <w:t> </w:t>
      </w:r>
      <w:r>
        <w:rPr>
          <w:w w:val="105"/>
          <w:sz w:val="22"/>
        </w:rPr>
        <w:t>proprio</w:t>
      </w:r>
      <w:r>
        <w:rPr>
          <w:spacing w:val="-10"/>
          <w:w w:val="105"/>
          <w:sz w:val="22"/>
        </w:rPr>
        <w:t> </w:t>
      </w:r>
      <w:r>
        <w:rPr>
          <w:w w:val="105"/>
          <w:sz w:val="22"/>
        </w:rPr>
        <w:t>interesse</w:t>
      </w:r>
      <w:r>
        <w:rPr>
          <w:spacing w:val="-8"/>
          <w:w w:val="105"/>
          <w:sz w:val="22"/>
        </w:rPr>
        <w:t> </w:t>
      </w:r>
      <w:r>
        <w:rPr>
          <w:w w:val="105"/>
          <w:sz w:val="22"/>
        </w:rPr>
        <w:t>ad</w:t>
      </w:r>
      <w:r>
        <w:rPr>
          <w:spacing w:val="-10"/>
          <w:w w:val="105"/>
          <w:sz w:val="22"/>
        </w:rPr>
        <w:t> </w:t>
      </w:r>
      <w:r>
        <w:rPr>
          <w:w w:val="105"/>
          <w:sz w:val="22"/>
        </w:rPr>
        <w:t>effettuare</w:t>
      </w:r>
      <w:r>
        <w:rPr>
          <w:spacing w:val="-9"/>
          <w:w w:val="105"/>
          <w:sz w:val="22"/>
        </w:rPr>
        <w:t> </w:t>
      </w:r>
      <w:r>
        <w:rPr>
          <w:w w:val="105"/>
          <w:sz w:val="22"/>
        </w:rPr>
        <w:t>eventuali</w:t>
      </w:r>
      <w:r>
        <w:rPr>
          <w:spacing w:val="-9"/>
          <w:w w:val="105"/>
          <w:sz w:val="22"/>
        </w:rPr>
        <w:t> </w:t>
      </w:r>
      <w:r>
        <w:rPr>
          <w:w w:val="105"/>
          <w:sz w:val="22"/>
        </w:rPr>
        <w:t>investimenti nell’ambito di un processo di M&amp;A strutturato, nonché nell’esplorazione della disponibilità di altri soggetti terzi a formulare offerte concorrenti, rispetto</w:t>
      </w:r>
      <w:r>
        <w:rPr>
          <w:spacing w:val="-23"/>
          <w:w w:val="105"/>
          <w:sz w:val="22"/>
        </w:rPr>
        <w:t> </w:t>
      </w:r>
      <w:r>
        <w:rPr>
          <w:w w:val="105"/>
          <w:sz w:val="22"/>
        </w:rPr>
        <w:t>alle</w:t>
      </w:r>
      <w:r>
        <w:rPr>
          <w:spacing w:val="-24"/>
          <w:w w:val="105"/>
          <w:sz w:val="22"/>
        </w:rPr>
        <w:t> </w:t>
      </w:r>
      <w:r>
        <w:rPr>
          <w:w w:val="105"/>
          <w:sz w:val="22"/>
        </w:rPr>
        <w:t>predette</w:t>
      </w:r>
      <w:r>
        <w:rPr>
          <w:spacing w:val="-24"/>
          <w:w w:val="105"/>
          <w:sz w:val="22"/>
        </w:rPr>
        <w:t> </w:t>
      </w:r>
      <w:r>
        <w:rPr>
          <w:w w:val="105"/>
          <w:sz w:val="22"/>
        </w:rPr>
        <w:t>manifestazioni</w:t>
      </w:r>
      <w:r>
        <w:rPr>
          <w:spacing w:val="-25"/>
          <w:w w:val="105"/>
          <w:sz w:val="22"/>
        </w:rPr>
        <w:t> </w:t>
      </w:r>
      <w:r>
        <w:rPr>
          <w:w w:val="105"/>
          <w:sz w:val="22"/>
        </w:rPr>
        <w:t>di</w:t>
      </w:r>
      <w:r>
        <w:rPr>
          <w:spacing w:val="-24"/>
          <w:w w:val="105"/>
          <w:sz w:val="22"/>
        </w:rPr>
        <w:t> </w:t>
      </w:r>
      <w:r>
        <w:rPr>
          <w:w w:val="105"/>
          <w:sz w:val="22"/>
        </w:rPr>
        <w:t>interesse;</w:t>
      </w:r>
    </w:p>
    <w:p>
      <w:pPr>
        <w:pStyle w:val="ListParagraph"/>
        <w:numPr>
          <w:ilvl w:val="2"/>
          <w:numId w:val="3"/>
        </w:numPr>
        <w:tabs>
          <w:tab w:pos="1057" w:val="left" w:leader="none"/>
        </w:tabs>
        <w:spacing w:line="491" w:lineRule="auto" w:before="1" w:after="0"/>
        <w:ind w:left="400" w:right="2194" w:firstLine="338"/>
        <w:jc w:val="both"/>
        <w:rPr>
          <w:sz w:val="22"/>
        </w:rPr>
      </w:pPr>
      <w:r>
        <w:rPr>
          <w:w w:val="105"/>
          <w:sz w:val="22"/>
        </w:rPr>
        <w:t>all’esito di tale attività, come meglio sarà analizzato nel paragrafo relativo al processo di M&amp;A, Versalis S.p.A., società soggetta all’attività di direzione e coordinamento di ENI S.p.A., in data 2 febbraio 2018, ha formulato un’offerta vincolante per l’acquisto dei rami di azienda di IBP, Biochemtex, IBP Energia e Beta (il “</w:t>
      </w:r>
      <w:r>
        <w:rPr>
          <w:b/>
          <w:w w:val="105"/>
          <w:sz w:val="22"/>
        </w:rPr>
        <w:t>Perimetro Bio</w:t>
      </w:r>
      <w:r>
        <w:rPr>
          <w:w w:val="105"/>
          <w:sz w:val="22"/>
        </w:rPr>
        <w:t>”), per il prezzo complessivo di € 72 milioni. Successivamente, in data 21 febbraio 2018 Versalis ha inviato una nuova offerta, migliorativa rispetto alla precedente che,</w:t>
      </w:r>
      <w:r>
        <w:rPr>
          <w:spacing w:val="-11"/>
          <w:w w:val="105"/>
          <w:sz w:val="22"/>
        </w:rPr>
        <w:t> </w:t>
      </w:r>
      <w:r>
        <w:rPr>
          <w:w w:val="105"/>
          <w:sz w:val="22"/>
        </w:rPr>
        <w:t>come</w:t>
      </w:r>
      <w:r>
        <w:rPr>
          <w:spacing w:val="-12"/>
          <w:w w:val="105"/>
          <w:sz w:val="22"/>
        </w:rPr>
        <w:t> </w:t>
      </w:r>
      <w:r>
        <w:rPr>
          <w:w w:val="105"/>
          <w:sz w:val="22"/>
        </w:rPr>
        <w:t>meglio</w:t>
      </w:r>
      <w:r>
        <w:rPr>
          <w:spacing w:val="-12"/>
          <w:w w:val="105"/>
          <w:sz w:val="22"/>
        </w:rPr>
        <w:t> </w:t>
      </w:r>
      <w:r>
        <w:rPr>
          <w:w w:val="105"/>
          <w:sz w:val="22"/>
        </w:rPr>
        <w:t>descritto</w:t>
      </w:r>
      <w:r>
        <w:rPr>
          <w:spacing w:val="-12"/>
          <w:w w:val="105"/>
          <w:sz w:val="22"/>
        </w:rPr>
        <w:t> </w:t>
      </w:r>
      <w:r>
        <w:rPr>
          <w:i/>
          <w:w w:val="105"/>
          <w:sz w:val="22"/>
        </w:rPr>
        <w:t>infra</w:t>
      </w:r>
      <w:r>
        <w:rPr>
          <w:i/>
          <w:spacing w:val="-12"/>
          <w:w w:val="105"/>
          <w:sz w:val="22"/>
        </w:rPr>
        <w:t> </w:t>
      </w:r>
      <w:r>
        <w:rPr>
          <w:w w:val="105"/>
          <w:sz w:val="22"/>
        </w:rPr>
        <w:t>e,</w:t>
      </w:r>
      <w:r>
        <w:rPr>
          <w:spacing w:val="-13"/>
          <w:w w:val="105"/>
          <w:sz w:val="22"/>
        </w:rPr>
        <w:t> </w:t>
      </w:r>
      <w:r>
        <w:rPr>
          <w:w w:val="105"/>
          <w:sz w:val="22"/>
        </w:rPr>
        <w:t>tra</w:t>
      </w:r>
      <w:r>
        <w:rPr>
          <w:spacing w:val="-12"/>
          <w:w w:val="105"/>
          <w:sz w:val="22"/>
        </w:rPr>
        <w:t> </w:t>
      </w:r>
      <w:r>
        <w:rPr>
          <w:w w:val="105"/>
          <w:sz w:val="22"/>
        </w:rPr>
        <w:t>l’altro,</w:t>
      </w:r>
      <w:r>
        <w:rPr>
          <w:spacing w:val="-12"/>
          <w:w w:val="105"/>
          <w:sz w:val="22"/>
        </w:rPr>
        <w:t> </w:t>
      </w:r>
      <w:r>
        <w:rPr>
          <w:w w:val="105"/>
          <w:sz w:val="22"/>
        </w:rPr>
        <w:t>ha</w:t>
      </w:r>
      <w:r>
        <w:rPr>
          <w:spacing w:val="-12"/>
          <w:w w:val="105"/>
          <w:sz w:val="22"/>
        </w:rPr>
        <w:t> </w:t>
      </w:r>
      <w:r>
        <w:rPr>
          <w:w w:val="105"/>
          <w:sz w:val="22"/>
        </w:rPr>
        <w:t>elevato</w:t>
      </w:r>
      <w:r>
        <w:rPr>
          <w:spacing w:val="-13"/>
          <w:w w:val="105"/>
          <w:sz w:val="22"/>
        </w:rPr>
        <w:t> </w:t>
      </w:r>
      <w:r>
        <w:rPr>
          <w:w w:val="105"/>
          <w:sz w:val="22"/>
        </w:rPr>
        <w:t>il</w:t>
      </w:r>
      <w:r>
        <w:rPr>
          <w:spacing w:val="-12"/>
          <w:w w:val="105"/>
          <w:sz w:val="22"/>
        </w:rPr>
        <w:t> </w:t>
      </w:r>
      <w:r>
        <w:rPr>
          <w:w w:val="105"/>
          <w:sz w:val="22"/>
        </w:rPr>
        <w:t>prezzo</w:t>
      </w:r>
      <w:r>
        <w:rPr>
          <w:spacing w:val="-12"/>
          <w:w w:val="105"/>
          <w:sz w:val="22"/>
        </w:rPr>
        <w:t> </w:t>
      </w:r>
      <w:r>
        <w:rPr>
          <w:w w:val="105"/>
          <w:sz w:val="22"/>
        </w:rPr>
        <w:t>offerto</w:t>
      </w:r>
      <w:r>
        <w:rPr>
          <w:spacing w:val="-11"/>
          <w:w w:val="105"/>
          <w:sz w:val="22"/>
        </w:rPr>
        <w:t> </w:t>
      </w:r>
      <w:r>
        <w:rPr>
          <w:w w:val="105"/>
          <w:sz w:val="22"/>
        </w:rPr>
        <w:t>ad</w:t>
      </w:r>
      <w:r>
        <w:rPr>
          <w:spacing w:val="-13"/>
          <w:w w:val="105"/>
          <w:sz w:val="22"/>
        </w:rPr>
        <w:t> </w:t>
      </w:r>
      <w:r>
        <w:rPr>
          <w:w w:val="105"/>
          <w:sz w:val="22"/>
        </w:rPr>
        <w:t>€ 75 milioni e ha previsto un’ulteriore incremento di prezzo, attraverso un meccanismo di </w:t>
      </w:r>
      <w:r>
        <w:rPr>
          <w:i/>
          <w:w w:val="105"/>
          <w:sz w:val="22"/>
        </w:rPr>
        <w:t>earn-out</w:t>
      </w:r>
      <w:r>
        <w:rPr>
          <w:w w:val="105"/>
          <w:sz w:val="22"/>
        </w:rPr>
        <w:t>, fino ad un massimo di € 20 milioni la cui effettiva erogazione</w:t>
      </w:r>
      <w:r>
        <w:rPr>
          <w:spacing w:val="-12"/>
          <w:w w:val="105"/>
          <w:sz w:val="22"/>
        </w:rPr>
        <w:t> </w:t>
      </w:r>
      <w:r>
        <w:rPr>
          <w:w w:val="105"/>
          <w:sz w:val="22"/>
        </w:rPr>
        <w:t>è</w:t>
      </w:r>
      <w:r>
        <w:rPr>
          <w:spacing w:val="-11"/>
          <w:w w:val="105"/>
          <w:sz w:val="22"/>
        </w:rPr>
        <w:t> </w:t>
      </w:r>
      <w:r>
        <w:rPr>
          <w:w w:val="105"/>
          <w:sz w:val="22"/>
        </w:rPr>
        <w:t>subordinata</w:t>
      </w:r>
      <w:r>
        <w:rPr>
          <w:spacing w:val="-10"/>
          <w:w w:val="105"/>
          <w:sz w:val="22"/>
        </w:rPr>
        <w:t> </w:t>
      </w:r>
      <w:r>
        <w:rPr>
          <w:w w:val="105"/>
          <w:sz w:val="22"/>
        </w:rPr>
        <w:t>all’omologazione</w:t>
      </w:r>
      <w:r>
        <w:rPr>
          <w:spacing w:val="-10"/>
          <w:w w:val="105"/>
          <w:sz w:val="22"/>
        </w:rPr>
        <w:t> </w:t>
      </w:r>
      <w:r>
        <w:rPr>
          <w:w w:val="105"/>
          <w:sz w:val="22"/>
        </w:rPr>
        <w:t>dei</w:t>
      </w:r>
      <w:r>
        <w:rPr>
          <w:spacing w:val="-10"/>
          <w:w w:val="105"/>
          <w:sz w:val="22"/>
        </w:rPr>
        <w:t> </w:t>
      </w:r>
      <w:r>
        <w:rPr>
          <w:w w:val="105"/>
          <w:sz w:val="22"/>
        </w:rPr>
        <w:t>concordati</w:t>
      </w:r>
      <w:r>
        <w:rPr>
          <w:spacing w:val="-12"/>
          <w:w w:val="105"/>
          <w:sz w:val="22"/>
        </w:rPr>
        <w:t> </w:t>
      </w:r>
      <w:r>
        <w:rPr>
          <w:w w:val="105"/>
          <w:sz w:val="22"/>
        </w:rPr>
        <w:t>preventivi</w:t>
      </w:r>
      <w:r>
        <w:rPr>
          <w:spacing w:val="-12"/>
          <w:w w:val="105"/>
          <w:sz w:val="22"/>
        </w:rPr>
        <w:t> </w:t>
      </w:r>
      <w:r>
        <w:rPr>
          <w:w w:val="105"/>
          <w:sz w:val="22"/>
        </w:rPr>
        <w:t>di</w:t>
      </w:r>
      <w:r>
        <w:rPr>
          <w:spacing w:val="-10"/>
          <w:w w:val="105"/>
          <w:sz w:val="22"/>
        </w:rPr>
        <w:t> </w:t>
      </w:r>
      <w:r>
        <w:rPr>
          <w:w w:val="105"/>
          <w:sz w:val="22"/>
        </w:rPr>
        <w:t>tutte le</w:t>
      </w:r>
      <w:r>
        <w:rPr>
          <w:spacing w:val="-16"/>
          <w:w w:val="105"/>
          <w:sz w:val="22"/>
        </w:rPr>
        <w:t> </w:t>
      </w:r>
      <w:r>
        <w:rPr>
          <w:w w:val="105"/>
          <w:sz w:val="22"/>
        </w:rPr>
        <w:t>Società</w:t>
      </w:r>
      <w:r>
        <w:rPr>
          <w:spacing w:val="-16"/>
          <w:w w:val="105"/>
          <w:sz w:val="22"/>
        </w:rPr>
        <w:t> </w:t>
      </w:r>
      <w:r>
        <w:rPr>
          <w:w w:val="105"/>
          <w:sz w:val="22"/>
        </w:rPr>
        <w:t>del</w:t>
      </w:r>
      <w:r>
        <w:rPr>
          <w:spacing w:val="-15"/>
          <w:w w:val="105"/>
          <w:sz w:val="22"/>
        </w:rPr>
        <w:t> </w:t>
      </w:r>
      <w:r>
        <w:rPr>
          <w:w w:val="105"/>
          <w:sz w:val="22"/>
        </w:rPr>
        <w:t>Perimetro</w:t>
      </w:r>
      <w:r>
        <w:rPr>
          <w:spacing w:val="-18"/>
          <w:w w:val="105"/>
          <w:sz w:val="22"/>
        </w:rPr>
        <w:t> </w:t>
      </w:r>
      <w:r>
        <w:rPr>
          <w:w w:val="105"/>
          <w:sz w:val="22"/>
        </w:rPr>
        <w:t>Bio</w:t>
      </w:r>
      <w:r>
        <w:rPr>
          <w:spacing w:val="-16"/>
          <w:w w:val="105"/>
          <w:sz w:val="22"/>
        </w:rPr>
        <w:t> </w:t>
      </w:r>
      <w:r>
        <w:rPr>
          <w:w w:val="105"/>
          <w:sz w:val="22"/>
        </w:rPr>
        <w:t>(la</w:t>
      </w:r>
      <w:r>
        <w:rPr>
          <w:spacing w:val="-16"/>
          <w:w w:val="105"/>
          <w:sz w:val="22"/>
        </w:rPr>
        <w:t> </w:t>
      </w:r>
      <w:r>
        <w:rPr>
          <w:w w:val="105"/>
          <w:sz w:val="22"/>
        </w:rPr>
        <w:t>“</w:t>
      </w:r>
      <w:r>
        <w:rPr>
          <w:b/>
          <w:w w:val="105"/>
          <w:sz w:val="22"/>
        </w:rPr>
        <w:t>Offerta</w:t>
      </w:r>
      <w:r>
        <w:rPr>
          <w:b/>
          <w:spacing w:val="-16"/>
          <w:w w:val="105"/>
          <w:sz w:val="22"/>
        </w:rPr>
        <w:t> </w:t>
      </w:r>
      <w:r>
        <w:rPr>
          <w:b/>
          <w:w w:val="105"/>
          <w:sz w:val="22"/>
        </w:rPr>
        <w:t>Versalis</w:t>
      </w:r>
      <w:r>
        <w:rPr>
          <w:w w:val="105"/>
          <w:sz w:val="22"/>
        </w:rPr>
        <w:t>”,</w:t>
      </w:r>
      <w:r>
        <w:rPr>
          <w:spacing w:val="-16"/>
          <w:w w:val="105"/>
          <w:sz w:val="22"/>
        </w:rPr>
        <w:t> </w:t>
      </w:r>
      <w:r>
        <w:rPr>
          <w:w w:val="105"/>
          <w:sz w:val="22"/>
        </w:rPr>
        <w:t>cfr.</w:t>
      </w:r>
      <w:r>
        <w:rPr>
          <w:spacing w:val="-16"/>
          <w:w w:val="105"/>
          <w:sz w:val="22"/>
        </w:rPr>
        <w:t> </w:t>
      </w:r>
      <w:r>
        <w:rPr>
          <w:w w:val="105"/>
          <w:sz w:val="22"/>
        </w:rPr>
        <w:t>doc.</w:t>
      </w:r>
      <w:r>
        <w:rPr>
          <w:spacing w:val="-16"/>
          <w:w w:val="105"/>
          <w:sz w:val="22"/>
        </w:rPr>
        <w:t> </w:t>
      </w:r>
      <w:r>
        <w:rPr>
          <w:w w:val="105"/>
          <w:sz w:val="22"/>
        </w:rPr>
        <w:t>46);</w:t>
      </w:r>
    </w:p>
    <w:p>
      <w:pPr>
        <w:pStyle w:val="ListParagraph"/>
        <w:numPr>
          <w:ilvl w:val="2"/>
          <w:numId w:val="3"/>
        </w:numPr>
        <w:tabs>
          <w:tab w:pos="1057" w:val="left" w:leader="none"/>
        </w:tabs>
        <w:spacing w:line="494" w:lineRule="auto" w:before="0" w:after="0"/>
        <w:ind w:left="400" w:right="2193" w:firstLine="338"/>
        <w:jc w:val="both"/>
        <w:rPr>
          <w:sz w:val="22"/>
        </w:rPr>
      </w:pPr>
      <w:r>
        <w:rPr>
          <w:w w:val="105"/>
          <w:sz w:val="22"/>
        </w:rPr>
        <w:t>entrambe le offerte, i cui termini principali sono più appresso rappresentati,</w:t>
      </w:r>
      <w:r>
        <w:rPr>
          <w:spacing w:val="-14"/>
          <w:w w:val="105"/>
          <w:sz w:val="22"/>
        </w:rPr>
        <w:t> </w:t>
      </w:r>
      <w:r>
        <w:rPr>
          <w:w w:val="105"/>
          <w:sz w:val="22"/>
        </w:rPr>
        <w:t>vengono</w:t>
      </w:r>
      <w:r>
        <w:rPr>
          <w:spacing w:val="-16"/>
          <w:w w:val="105"/>
          <w:sz w:val="22"/>
        </w:rPr>
        <w:t> </w:t>
      </w:r>
      <w:r>
        <w:rPr>
          <w:w w:val="105"/>
          <w:sz w:val="22"/>
        </w:rPr>
        <w:t>allegate</w:t>
      </w:r>
      <w:r>
        <w:rPr>
          <w:spacing w:val="-16"/>
          <w:w w:val="105"/>
          <w:sz w:val="22"/>
        </w:rPr>
        <w:t> </w:t>
      </w:r>
      <w:r>
        <w:rPr>
          <w:w w:val="105"/>
          <w:sz w:val="22"/>
        </w:rPr>
        <w:t>al</w:t>
      </w:r>
      <w:r>
        <w:rPr>
          <w:spacing w:val="-16"/>
          <w:w w:val="105"/>
          <w:sz w:val="22"/>
        </w:rPr>
        <w:t> </w:t>
      </w:r>
      <w:r>
        <w:rPr>
          <w:w w:val="105"/>
          <w:sz w:val="22"/>
        </w:rPr>
        <w:t>presente</w:t>
      </w:r>
      <w:r>
        <w:rPr>
          <w:spacing w:val="-15"/>
          <w:w w:val="105"/>
          <w:sz w:val="22"/>
        </w:rPr>
        <w:t> </w:t>
      </w:r>
      <w:r>
        <w:rPr>
          <w:w w:val="105"/>
          <w:sz w:val="22"/>
        </w:rPr>
        <w:t>atto</w:t>
      </w:r>
      <w:r>
        <w:rPr>
          <w:spacing w:val="-17"/>
          <w:w w:val="105"/>
          <w:sz w:val="22"/>
        </w:rPr>
        <w:t> </w:t>
      </w:r>
      <w:r>
        <w:rPr>
          <w:w w:val="105"/>
          <w:sz w:val="22"/>
        </w:rPr>
        <w:t>e</w:t>
      </w:r>
      <w:r>
        <w:rPr>
          <w:spacing w:val="-17"/>
          <w:w w:val="105"/>
          <w:sz w:val="22"/>
        </w:rPr>
        <w:t> </w:t>
      </w:r>
      <w:r>
        <w:rPr>
          <w:w w:val="105"/>
          <w:sz w:val="22"/>
        </w:rPr>
        <w:t>sono</w:t>
      </w:r>
      <w:r>
        <w:rPr>
          <w:spacing w:val="-16"/>
          <w:w w:val="105"/>
          <w:sz w:val="22"/>
        </w:rPr>
        <w:t> </w:t>
      </w:r>
      <w:r>
        <w:rPr>
          <w:w w:val="105"/>
          <w:sz w:val="22"/>
        </w:rPr>
        <w:t>state</w:t>
      </w:r>
      <w:r>
        <w:rPr>
          <w:spacing w:val="-16"/>
          <w:w w:val="105"/>
          <w:sz w:val="22"/>
        </w:rPr>
        <w:t> </w:t>
      </w:r>
      <w:r>
        <w:rPr>
          <w:w w:val="105"/>
          <w:sz w:val="22"/>
        </w:rPr>
        <w:t>già</w:t>
      </w:r>
      <w:r>
        <w:rPr>
          <w:spacing w:val="-16"/>
          <w:w w:val="105"/>
          <w:sz w:val="22"/>
        </w:rPr>
        <w:t> </w:t>
      </w:r>
      <w:r>
        <w:rPr>
          <w:w w:val="105"/>
          <w:sz w:val="22"/>
        </w:rPr>
        <w:t>depositate,</w:t>
      </w:r>
      <w:r>
        <w:rPr>
          <w:spacing w:val="-15"/>
          <w:w w:val="105"/>
          <w:sz w:val="22"/>
        </w:rPr>
        <w:t> </w:t>
      </w:r>
      <w:r>
        <w:rPr>
          <w:w w:val="105"/>
          <w:sz w:val="22"/>
        </w:rPr>
        <w:t>in</w:t>
      </w:r>
    </w:p>
    <w:p>
      <w:pPr>
        <w:spacing w:after="0" w:line="494" w:lineRule="auto"/>
        <w:jc w:val="both"/>
        <w:rPr>
          <w:sz w:val="22"/>
        </w:rPr>
        <w:sectPr>
          <w:pgSz w:w="12240" w:h="15840"/>
          <w:pgMar w:header="0" w:footer="790" w:top="1500" w:bottom="980" w:left="1720" w:right="1200"/>
        </w:sectPr>
      </w:pPr>
    </w:p>
    <w:p>
      <w:pPr>
        <w:pStyle w:val="BodyText"/>
        <w:spacing w:line="489" w:lineRule="auto" w:before="105"/>
        <w:ind w:left="400" w:right="2193"/>
        <w:jc w:val="both"/>
      </w:pPr>
      <w:r>
        <w:rPr>
          <w:w w:val="105"/>
        </w:rPr>
        <w:t>allegato all’istanza ex art. 163 bis legge fall., in data 12 marzo 2018, con la quale la Società ha chiesto al Tribunale di procedere alla sollecitazione del mercato disponendo, ai sensi dell’art. 163 </w:t>
      </w:r>
      <w:r>
        <w:rPr>
          <w:i/>
          <w:w w:val="105"/>
        </w:rPr>
        <w:t>bis </w:t>
      </w:r>
      <w:r>
        <w:rPr>
          <w:w w:val="105"/>
        </w:rPr>
        <w:t>l. fall., l’apertura di una procedura di pubblicità e di ricerca di eventuali terzi interessati, funzionale alla gara che sarà indetta, non appena tutte le Società del Perimetro Bio avranno conseguito un provvedimento di ammissione delle rispettive domande di concordato, ex art. 163 l. fall.</w:t>
      </w:r>
      <w:r>
        <w:rPr>
          <w:w w:val="105"/>
          <w:position w:val="9"/>
          <w:sz w:val="13"/>
        </w:rPr>
        <w:t>5</w:t>
      </w:r>
      <w:r>
        <w:rPr>
          <w:w w:val="105"/>
        </w:rPr>
        <w:t>;</w:t>
      </w:r>
    </w:p>
    <w:p>
      <w:pPr>
        <w:pStyle w:val="ListParagraph"/>
        <w:numPr>
          <w:ilvl w:val="2"/>
          <w:numId w:val="3"/>
        </w:numPr>
        <w:tabs>
          <w:tab w:pos="1057" w:val="left" w:leader="none"/>
        </w:tabs>
        <w:spacing w:line="491" w:lineRule="auto" w:before="0" w:after="0"/>
        <w:ind w:left="400" w:right="2196" w:firstLine="338"/>
        <w:jc w:val="both"/>
        <w:rPr>
          <w:sz w:val="22"/>
        </w:rPr>
      </w:pPr>
      <w:r>
        <w:rPr>
          <w:w w:val="105"/>
          <w:sz w:val="22"/>
        </w:rPr>
        <w:t>la Società, al fine di consentire – ance a beneficio degli attestatori – l’esatta ricostruzione dei complessi rapporti negoziali e finanziari infragruppo,</w:t>
      </w:r>
      <w:r>
        <w:rPr>
          <w:spacing w:val="-22"/>
          <w:w w:val="105"/>
          <w:sz w:val="22"/>
        </w:rPr>
        <w:t> </w:t>
      </w:r>
      <w:r>
        <w:rPr>
          <w:w w:val="105"/>
          <w:sz w:val="22"/>
        </w:rPr>
        <w:t>si</w:t>
      </w:r>
      <w:r>
        <w:rPr>
          <w:spacing w:val="-22"/>
          <w:w w:val="105"/>
          <w:sz w:val="22"/>
        </w:rPr>
        <w:t> </w:t>
      </w:r>
      <w:r>
        <w:rPr>
          <w:w w:val="105"/>
          <w:sz w:val="22"/>
        </w:rPr>
        <w:t>è</w:t>
      </w:r>
      <w:r>
        <w:rPr>
          <w:spacing w:val="-22"/>
          <w:w w:val="105"/>
          <w:sz w:val="22"/>
        </w:rPr>
        <w:t> </w:t>
      </w:r>
      <w:r>
        <w:rPr>
          <w:w w:val="105"/>
          <w:sz w:val="22"/>
        </w:rPr>
        <w:t>avvalsa</w:t>
      </w:r>
      <w:r>
        <w:rPr>
          <w:spacing w:val="-21"/>
          <w:w w:val="105"/>
          <w:sz w:val="22"/>
        </w:rPr>
        <w:t> </w:t>
      </w:r>
      <w:r>
        <w:rPr>
          <w:w w:val="105"/>
          <w:sz w:val="22"/>
        </w:rPr>
        <w:t>dell’attività</w:t>
      </w:r>
      <w:r>
        <w:rPr>
          <w:spacing w:val="-21"/>
          <w:w w:val="105"/>
          <w:sz w:val="22"/>
        </w:rPr>
        <w:t> </w:t>
      </w:r>
      <w:r>
        <w:rPr>
          <w:w w:val="105"/>
          <w:sz w:val="22"/>
        </w:rPr>
        <w:t>della</w:t>
      </w:r>
      <w:r>
        <w:rPr>
          <w:spacing w:val="-22"/>
          <w:w w:val="105"/>
          <w:sz w:val="22"/>
        </w:rPr>
        <w:t> </w:t>
      </w:r>
      <w:r>
        <w:rPr>
          <w:w w:val="105"/>
          <w:sz w:val="22"/>
        </w:rPr>
        <w:t>società</w:t>
      </w:r>
      <w:r>
        <w:rPr>
          <w:spacing w:val="-22"/>
          <w:w w:val="105"/>
          <w:sz w:val="22"/>
        </w:rPr>
        <w:t> </w:t>
      </w:r>
      <w:r>
        <w:rPr>
          <w:w w:val="105"/>
          <w:sz w:val="22"/>
        </w:rPr>
        <w:t>di</w:t>
      </w:r>
      <w:r>
        <w:rPr>
          <w:spacing w:val="-22"/>
          <w:w w:val="105"/>
          <w:sz w:val="22"/>
        </w:rPr>
        <w:t> </w:t>
      </w:r>
      <w:r>
        <w:rPr>
          <w:w w:val="105"/>
          <w:sz w:val="22"/>
        </w:rPr>
        <w:t>revisione</w:t>
      </w:r>
      <w:r>
        <w:rPr>
          <w:spacing w:val="-21"/>
          <w:w w:val="105"/>
          <w:sz w:val="22"/>
        </w:rPr>
        <w:t> </w:t>
      </w:r>
      <w:r>
        <w:rPr>
          <w:w w:val="105"/>
          <w:sz w:val="22"/>
        </w:rPr>
        <w:t>Deloitte;</w:t>
      </w:r>
    </w:p>
    <w:p>
      <w:pPr>
        <w:pStyle w:val="ListParagraph"/>
        <w:numPr>
          <w:ilvl w:val="2"/>
          <w:numId w:val="3"/>
        </w:numPr>
        <w:tabs>
          <w:tab w:pos="1057" w:val="left" w:leader="none"/>
        </w:tabs>
        <w:spacing w:line="491" w:lineRule="auto" w:before="11" w:after="0"/>
        <w:ind w:left="400" w:right="2196" w:firstLine="338"/>
        <w:jc w:val="both"/>
        <w:rPr>
          <w:sz w:val="22"/>
        </w:rPr>
      </w:pPr>
      <w:r>
        <w:rPr>
          <w:w w:val="105"/>
          <w:sz w:val="22"/>
        </w:rPr>
        <w:t>in conformità all'art. 161, comma 3, legge fall., la Società intende provvedere,</w:t>
      </w:r>
      <w:r>
        <w:rPr>
          <w:spacing w:val="-15"/>
          <w:w w:val="105"/>
          <w:sz w:val="22"/>
        </w:rPr>
        <w:t> </w:t>
      </w:r>
      <w:r>
        <w:rPr>
          <w:w w:val="105"/>
          <w:sz w:val="22"/>
        </w:rPr>
        <w:t>con</w:t>
      </w:r>
      <w:r>
        <w:rPr>
          <w:spacing w:val="-15"/>
          <w:w w:val="105"/>
          <w:sz w:val="22"/>
        </w:rPr>
        <w:t> </w:t>
      </w:r>
      <w:r>
        <w:rPr>
          <w:w w:val="105"/>
          <w:sz w:val="22"/>
        </w:rPr>
        <w:t>la</w:t>
      </w:r>
      <w:r>
        <w:rPr>
          <w:spacing w:val="-15"/>
          <w:w w:val="105"/>
          <w:sz w:val="22"/>
        </w:rPr>
        <w:t> </w:t>
      </w:r>
      <w:r>
        <w:rPr>
          <w:w w:val="105"/>
          <w:sz w:val="22"/>
        </w:rPr>
        <w:t>presente</w:t>
      </w:r>
      <w:r>
        <w:rPr>
          <w:spacing w:val="-15"/>
          <w:w w:val="105"/>
          <w:sz w:val="22"/>
        </w:rPr>
        <w:t> </w:t>
      </w:r>
      <w:r>
        <w:rPr>
          <w:w w:val="105"/>
          <w:sz w:val="22"/>
        </w:rPr>
        <w:t>memoria,</w:t>
      </w:r>
      <w:r>
        <w:rPr>
          <w:spacing w:val="-15"/>
          <w:w w:val="105"/>
          <w:sz w:val="22"/>
        </w:rPr>
        <w:t> </w:t>
      </w:r>
      <w:r>
        <w:rPr>
          <w:w w:val="105"/>
          <w:sz w:val="22"/>
        </w:rPr>
        <w:t>a</w:t>
      </w:r>
      <w:r>
        <w:rPr>
          <w:spacing w:val="-15"/>
          <w:w w:val="105"/>
          <w:sz w:val="22"/>
        </w:rPr>
        <w:t> </w:t>
      </w:r>
      <w:r>
        <w:rPr>
          <w:w w:val="105"/>
          <w:sz w:val="22"/>
        </w:rPr>
        <w:t>depositare</w:t>
      </w:r>
      <w:r>
        <w:rPr>
          <w:spacing w:val="-15"/>
          <w:w w:val="105"/>
          <w:sz w:val="22"/>
        </w:rPr>
        <w:t> </w:t>
      </w:r>
      <w:r>
        <w:rPr>
          <w:w w:val="105"/>
          <w:sz w:val="22"/>
        </w:rPr>
        <w:t>il</w:t>
      </w:r>
      <w:r>
        <w:rPr>
          <w:spacing w:val="-15"/>
          <w:w w:val="105"/>
          <w:sz w:val="22"/>
        </w:rPr>
        <w:t> </w:t>
      </w:r>
      <w:r>
        <w:rPr>
          <w:w w:val="105"/>
          <w:sz w:val="22"/>
        </w:rPr>
        <w:t>Piano</w:t>
      </w:r>
      <w:r>
        <w:rPr>
          <w:spacing w:val="-15"/>
          <w:w w:val="105"/>
          <w:sz w:val="22"/>
        </w:rPr>
        <w:t> </w:t>
      </w:r>
      <w:r>
        <w:rPr>
          <w:w w:val="105"/>
          <w:sz w:val="22"/>
        </w:rPr>
        <w:t>e</w:t>
      </w:r>
      <w:r>
        <w:rPr>
          <w:spacing w:val="-15"/>
          <w:w w:val="105"/>
          <w:sz w:val="22"/>
        </w:rPr>
        <w:t> </w:t>
      </w:r>
      <w:r>
        <w:rPr>
          <w:w w:val="105"/>
          <w:sz w:val="22"/>
        </w:rPr>
        <w:t>la</w:t>
      </w:r>
      <w:r>
        <w:rPr>
          <w:spacing w:val="-15"/>
          <w:w w:val="105"/>
          <w:sz w:val="22"/>
        </w:rPr>
        <w:t> </w:t>
      </w:r>
      <w:r>
        <w:rPr>
          <w:w w:val="105"/>
          <w:sz w:val="22"/>
        </w:rPr>
        <w:t>Proposta;</w:t>
      </w:r>
    </w:p>
    <w:p>
      <w:pPr>
        <w:pStyle w:val="ListParagraph"/>
        <w:numPr>
          <w:ilvl w:val="2"/>
          <w:numId w:val="3"/>
        </w:numPr>
        <w:tabs>
          <w:tab w:pos="1057" w:val="left" w:leader="none"/>
        </w:tabs>
        <w:spacing w:line="491" w:lineRule="auto" w:before="0" w:after="0"/>
        <w:ind w:left="400" w:right="2196" w:firstLine="338"/>
        <w:jc w:val="both"/>
        <w:rPr>
          <w:sz w:val="22"/>
        </w:rPr>
      </w:pPr>
      <w:r>
        <w:rPr>
          <w:w w:val="105"/>
          <w:sz w:val="22"/>
        </w:rPr>
        <w:t>la</w:t>
      </w:r>
      <w:r>
        <w:rPr>
          <w:spacing w:val="-11"/>
          <w:w w:val="105"/>
          <w:sz w:val="22"/>
        </w:rPr>
        <w:t> </w:t>
      </w:r>
      <w:r>
        <w:rPr>
          <w:w w:val="105"/>
          <w:sz w:val="22"/>
        </w:rPr>
        <w:t>presentazione</w:t>
      </w:r>
      <w:r>
        <w:rPr>
          <w:spacing w:val="-11"/>
          <w:w w:val="105"/>
          <w:sz w:val="22"/>
        </w:rPr>
        <w:t> </w:t>
      </w:r>
      <w:r>
        <w:rPr>
          <w:w w:val="105"/>
          <w:sz w:val="22"/>
        </w:rPr>
        <w:t>del</w:t>
      </w:r>
      <w:r>
        <w:rPr>
          <w:spacing w:val="-11"/>
          <w:w w:val="105"/>
          <w:sz w:val="22"/>
        </w:rPr>
        <w:t> </w:t>
      </w:r>
      <w:r>
        <w:rPr>
          <w:w w:val="105"/>
          <w:sz w:val="22"/>
        </w:rPr>
        <w:t>Piano</w:t>
      </w:r>
      <w:r>
        <w:rPr>
          <w:spacing w:val="-13"/>
          <w:w w:val="105"/>
          <w:sz w:val="22"/>
        </w:rPr>
        <w:t> </w:t>
      </w:r>
      <w:r>
        <w:rPr>
          <w:w w:val="105"/>
          <w:sz w:val="22"/>
        </w:rPr>
        <w:t>e</w:t>
      </w:r>
      <w:r>
        <w:rPr>
          <w:spacing w:val="-11"/>
          <w:w w:val="105"/>
          <w:sz w:val="22"/>
        </w:rPr>
        <w:t> </w:t>
      </w:r>
      <w:r>
        <w:rPr>
          <w:w w:val="105"/>
          <w:sz w:val="22"/>
        </w:rPr>
        <w:t>della</w:t>
      </w:r>
      <w:r>
        <w:rPr>
          <w:spacing w:val="-11"/>
          <w:w w:val="105"/>
          <w:sz w:val="22"/>
        </w:rPr>
        <w:t> </w:t>
      </w:r>
      <w:r>
        <w:rPr>
          <w:w w:val="105"/>
          <w:sz w:val="22"/>
        </w:rPr>
        <w:t>Proposta</w:t>
      </w:r>
      <w:r>
        <w:rPr>
          <w:spacing w:val="-12"/>
          <w:w w:val="105"/>
          <w:sz w:val="22"/>
        </w:rPr>
        <w:t> </w:t>
      </w:r>
      <w:r>
        <w:rPr>
          <w:w w:val="105"/>
          <w:sz w:val="22"/>
        </w:rPr>
        <w:t>è</w:t>
      </w:r>
      <w:r>
        <w:rPr>
          <w:spacing w:val="-11"/>
          <w:w w:val="105"/>
          <w:sz w:val="22"/>
        </w:rPr>
        <w:t> </w:t>
      </w:r>
      <w:r>
        <w:rPr>
          <w:w w:val="105"/>
          <w:sz w:val="22"/>
        </w:rPr>
        <w:t>stata</w:t>
      </w:r>
      <w:r>
        <w:rPr>
          <w:spacing w:val="-11"/>
          <w:w w:val="105"/>
          <w:sz w:val="22"/>
        </w:rPr>
        <w:t> </w:t>
      </w:r>
      <w:r>
        <w:rPr>
          <w:w w:val="105"/>
          <w:sz w:val="22"/>
        </w:rPr>
        <w:t>deliberata</w:t>
      </w:r>
      <w:r>
        <w:rPr>
          <w:spacing w:val="-11"/>
          <w:w w:val="105"/>
          <w:sz w:val="22"/>
        </w:rPr>
        <w:t> </w:t>
      </w:r>
      <w:r>
        <w:rPr>
          <w:w w:val="105"/>
          <w:sz w:val="22"/>
        </w:rPr>
        <w:t>a</w:t>
      </w:r>
      <w:r>
        <w:rPr>
          <w:spacing w:val="-10"/>
          <w:w w:val="105"/>
          <w:sz w:val="22"/>
        </w:rPr>
        <w:t> </w:t>
      </w:r>
      <w:r>
        <w:rPr>
          <w:w w:val="105"/>
          <w:sz w:val="22"/>
        </w:rPr>
        <w:t>norma dell'art. 152 legge fall., come risulta dal verbale del Consiglio di Amministrazione, redatto dal Notaio Dott. Gaspare Fabio Pantè in data 23 aprile 2018 e depositato per l'iscrizione nel Registro delle Imprese di Alessandria</w:t>
      </w:r>
      <w:r>
        <w:rPr>
          <w:spacing w:val="-29"/>
          <w:w w:val="105"/>
          <w:sz w:val="22"/>
        </w:rPr>
        <w:t> </w:t>
      </w:r>
      <w:r>
        <w:rPr>
          <w:w w:val="105"/>
          <w:sz w:val="22"/>
        </w:rPr>
        <w:t>(</w:t>
      </w:r>
      <w:r>
        <w:rPr>
          <w:b/>
          <w:w w:val="105"/>
          <w:sz w:val="22"/>
        </w:rPr>
        <w:t>doc.</w:t>
      </w:r>
      <w:r>
        <w:rPr>
          <w:b/>
          <w:spacing w:val="-29"/>
          <w:w w:val="105"/>
          <w:sz w:val="22"/>
        </w:rPr>
        <w:t> </w:t>
      </w:r>
      <w:r>
        <w:rPr>
          <w:b/>
          <w:w w:val="105"/>
          <w:sz w:val="22"/>
        </w:rPr>
        <w:t>65</w:t>
      </w:r>
      <w:r>
        <w:rPr>
          <w:w w:val="105"/>
          <w:sz w:val="22"/>
        </w:rPr>
        <w:t>);</w:t>
      </w:r>
    </w:p>
    <w:p>
      <w:pPr>
        <w:pStyle w:val="ListParagraph"/>
        <w:numPr>
          <w:ilvl w:val="2"/>
          <w:numId w:val="3"/>
        </w:numPr>
        <w:tabs>
          <w:tab w:pos="1057" w:val="left" w:leader="none"/>
        </w:tabs>
        <w:spacing w:line="491" w:lineRule="auto" w:before="0" w:after="0"/>
        <w:ind w:left="400" w:right="2196" w:firstLine="338"/>
        <w:jc w:val="both"/>
        <w:rPr>
          <w:sz w:val="22"/>
        </w:rPr>
      </w:pPr>
      <w:r>
        <w:rPr>
          <w:w w:val="105"/>
          <w:sz w:val="22"/>
        </w:rPr>
        <w:t>il Piano e la Proposta contengono l’analitica descrizione delle modalità e dei tempi di adempimento della stessa Proposta, come previsto dall'art. 161, comma 2, lett. e), legge fall. (</w:t>
      </w:r>
      <w:r>
        <w:rPr>
          <w:b/>
          <w:w w:val="105"/>
          <w:sz w:val="22"/>
        </w:rPr>
        <w:t>doc. 66</w:t>
      </w:r>
      <w:r>
        <w:rPr>
          <w:w w:val="105"/>
          <w:sz w:val="22"/>
        </w:rPr>
        <w:t>) che contempla, come meglio</w:t>
      </w:r>
      <w:r>
        <w:rPr>
          <w:spacing w:val="-19"/>
          <w:w w:val="105"/>
          <w:sz w:val="22"/>
        </w:rPr>
        <w:t> </w:t>
      </w:r>
      <w:r>
        <w:rPr>
          <w:w w:val="105"/>
          <w:sz w:val="22"/>
        </w:rPr>
        <w:t>si</w:t>
      </w:r>
      <w:r>
        <w:rPr>
          <w:spacing w:val="-19"/>
          <w:w w:val="105"/>
          <w:sz w:val="22"/>
        </w:rPr>
        <w:t> </w:t>
      </w:r>
      <w:r>
        <w:rPr>
          <w:w w:val="105"/>
          <w:sz w:val="22"/>
        </w:rPr>
        <w:t>vedrà</w:t>
      </w:r>
      <w:r>
        <w:rPr>
          <w:spacing w:val="-19"/>
          <w:w w:val="105"/>
          <w:sz w:val="22"/>
        </w:rPr>
        <w:t> </w:t>
      </w:r>
      <w:r>
        <w:rPr>
          <w:w w:val="105"/>
          <w:sz w:val="22"/>
        </w:rPr>
        <w:t>nel</w:t>
      </w:r>
      <w:r>
        <w:rPr>
          <w:spacing w:val="-19"/>
          <w:w w:val="105"/>
          <w:sz w:val="22"/>
        </w:rPr>
        <w:t> </w:t>
      </w:r>
      <w:r>
        <w:rPr>
          <w:w w:val="105"/>
          <w:sz w:val="22"/>
        </w:rPr>
        <w:t>prosieguo:</w:t>
      </w:r>
    </w:p>
    <w:p>
      <w:pPr>
        <w:pStyle w:val="ListParagraph"/>
        <w:numPr>
          <w:ilvl w:val="0"/>
          <w:numId w:val="5"/>
        </w:numPr>
        <w:tabs>
          <w:tab w:pos="1345" w:val="left" w:leader="none"/>
          <w:tab w:pos="1346" w:val="left" w:leader="none"/>
        </w:tabs>
        <w:spacing w:line="254" w:lineRule="exact" w:before="0" w:after="0"/>
        <w:ind w:left="1346" w:right="0" w:hanging="563"/>
        <w:jc w:val="left"/>
        <w:rPr>
          <w:b/>
          <w:sz w:val="22"/>
        </w:rPr>
      </w:pPr>
      <w:r>
        <w:rPr>
          <w:w w:val="105"/>
          <w:sz w:val="22"/>
        </w:rPr>
        <w:t>la   cessione   del   ramo   di   azienda   Biochemtex   (il </w:t>
      </w:r>
      <w:r>
        <w:rPr>
          <w:spacing w:val="29"/>
          <w:w w:val="105"/>
          <w:sz w:val="22"/>
        </w:rPr>
        <w:t> </w:t>
      </w:r>
      <w:r>
        <w:rPr>
          <w:w w:val="105"/>
          <w:sz w:val="22"/>
        </w:rPr>
        <w:t>“</w:t>
      </w:r>
      <w:r>
        <w:rPr>
          <w:b/>
          <w:w w:val="105"/>
          <w:sz w:val="22"/>
        </w:rPr>
        <w:t>Ramo</w:t>
      </w:r>
    </w:p>
    <w:p>
      <w:pPr>
        <w:pStyle w:val="BodyText"/>
        <w:spacing w:before="7"/>
        <w:rPr>
          <w:b/>
        </w:rPr>
      </w:pPr>
    </w:p>
    <w:p>
      <w:pPr>
        <w:pStyle w:val="BodyText"/>
        <w:tabs>
          <w:tab w:pos="2974" w:val="left" w:leader="none"/>
          <w:tab w:pos="3381" w:val="left" w:leader="none"/>
          <w:tab w:pos="4428" w:val="left" w:leader="none"/>
          <w:tab w:pos="5001" w:val="left" w:leader="none"/>
          <w:tab w:pos="5965" w:val="left" w:leader="none"/>
        </w:tabs>
        <w:ind w:left="1345"/>
      </w:pPr>
      <w:r>
        <w:rPr>
          <w:b/>
          <w:w w:val="105"/>
        </w:rPr>
        <w:t>Biochemtex</w:t>
      </w:r>
      <w:r>
        <w:rPr>
          <w:w w:val="105"/>
        </w:rPr>
        <w:t>”)</w:t>
        <w:tab/>
        <w:t>e</w:t>
        <w:tab/>
        <w:t>l’incasso</w:t>
        <w:tab/>
        <w:t>del</w:t>
        <w:tab/>
        <w:t>relativo</w:t>
        <w:tab/>
        <w:t>corrispettivo,</w:t>
      </w:r>
    </w:p>
    <w:p>
      <w:pPr>
        <w:pStyle w:val="BodyText"/>
        <w:spacing w:before="6"/>
        <w:rPr>
          <w:sz w:val="16"/>
        </w:rPr>
      </w:pPr>
      <w:r>
        <w:rPr/>
        <w:pict>
          <v:line style="position:absolute;mso-position-horizontal-relative:page;mso-position-vertical-relative:paragraph;z-index:1120;mso-wrap-distance-left:0;mso-wrap-distance-right:0" from="106.019997pt,11.548679pt" to="241.499997pt,11.548679pt" stroked="true" strokeweight=".48001pt" strokecolor="#000000">
            <v:stroke dashstyle="solid"/>
            <w10:wrap type="topAndBottom"/>
          </v:line>
        </w:pict>
      </w:r>
    </w:p>
    <w:p>
      <w:pPr>
        <w:spacing w:before="33"/>
        <w:ind w:left="400" w:right="2200" w:firstLine="0"/>
        <w:jc w:val="left"/>
        <w:rPr>
          <w:sz w:val="17"/>
        </w:rPr>
      </w:pPr>
      <w:r>
        <w:rPr>
          <w:rFonts w:ascii="Arial" w:hAnsi="Arial"/>
          <w:position w:val="8"/>
          <w:sz w:val="9"/>
        </w:rPr>
        <w:t>5 </w:t>
      </w:r>
      <w:r>
        <w:rPr>
          <w:sz w:val="17"/>
        </w:rPr>
        <w:t>Analoghe. istanze sono state depositate, nelle rispettive procedure, dalle altre società del Perimetro Bio.</w:t>
      </w:r>
    </w:p>
    <w:p>
      <w:pPr>
        <w:spacing w:after="0"/>
        <w:jc w:val="left"/>
        <w:rPr>
          <w:sz w:val="17"/>
        </w:rPr>
        <w:sectPr>
          <w:pgSz w:w="12240" w:h="15840"/>
          <w:pgMar w:header="0" w:footer="790" w:top="1500" w:bottom="980" w:left="1720" w:right="1200"/>
        </w:sectPr>
      </w:pPr>
    </w:p>
    <w:p>
      <w:pPr>
        <w:pStyle w:val="BodyText"/>
        <w:spacing w:before="105"/>
        <w:ind w:left="1346"/>
        <w:rPr>
          <w:i/>
        </w:rPr>
      </w:pPr>
      <w:r>
        <w:rPr>
          <w:w w:val="105"/>
        </w:rPr>
        <w:t>(eventualmente incrementato dall’Earn Out Versalis, come  </w:t>
      </w:r>
      <w:r>
        <w:rPr>
          <w:i/>
          <w:w w:val="105"/>
        </w:rPr>
        <w:t>infra</w:t>
      </w:r>
    </w:p>
    <w:p>
      <w:pPr>
        <w:pStyle w:val="BodyText"/>
        <w:rPr>
          <w:i/>
          <w:sz w:val="23"/>
        </w:rPr>
      </w:pPr>
    </w:p>
    <w:p>
      <w:pPr>
        <w:pStyle w:val="BodyText"/>
        <w:ind w:left="1346"/>
      </w:pPr>
      <w:r>
        <w:rPr>
          <w:w w:val="105"/>
        </w:rPr>
        <w:t>definito);</w:t>
      </w:r>
    </w:p>
    <w:p>
      <w:pPr>
        <w:pStyle w:val="BodyText"/>
        <w:spacing w:before="7"/>
        <w:rPr>
          <w:sz w:val="21"/>
        </w:rPr>
      </w:pPr>
    </w:p>
    <w:p>
      <w:pPr>
        <w:pStyle w:val="ListParagraph"/>
        <w:numPr>
          <w:ilvl w:val="0"/>
          <w:numId w:val="5"/>
        </w:numPr>
        <w:tabs>
          <w:tab w:pos="1346" w:val="left" w:leader="none"/>
        </w:tabs>
        <w:spacing w:line="487" w:lineRule="auto" w:before="0" w:after="0"/>
        <w:ind w:left="1346" w:right="2193" w:hanging="627"/>
        <w:jc w:val="both"/>
        <w:rPr>
          <w:sz w:val="22"/>
        </w:rPr>
      </w:pPr>
      <w:r>
        <w:rPr>
          <w:w w:val="105"/>
          <w:sz w:val="22"/>
        </w:rPr>
        <w:t>l’incasso dei crediti vantati maturati e maturandi dalla Società nei confronti dei terzi (l’“</w:t>
      </w:r>
      <w:r>
        <w:rPr>
          <w:b/>
          <w:w w:val="105"/>
          <w:sz w:val="22"/>
        </w:rPr>
        <w:t>Incasso Crediti</w:t>
      </w:r>
      <w:r>
        <w:rPr>
          <w:w w:val="105"/>
          <w:sz w:val="22"/>
        </w:rPr>
        <w:t>”) e, più in generale, la realizzazione</w:t>
      </w:r>
      <w:r>
        <w:rPr>
          <w:spacing w:val="-11"/>
          <w:w w:val="105"/>
          <w:sz w:val="22"/>
        </w:rPr>
        <w:t> </w:t>
      </w:r>
      <w:r>
        <w:rPr>
          <w:w w:val="105"/>
          <w:sz w:val="22"/>
        </w:rPr>
        <w:t>degli</w:t>
      </w:r>
      <w:r>
        <w:rPr>
          <w:spacing w:val="-11"/>
          <w:w w:val="105"/>
          <w:sz w:val="22"/>
        </w:rPr>
        <w:t> </w:t>
      </w:r>
      <w:r>
        <w:rPr>
          <w:w w:val="105"/>
          <w:sz w:val="22"/>
        </w:rPr>
        <w:t>ulteriori</w:t>
      </w:r>
      <w:r>
        <w:rPr>
          <w:spacing w:val="-12"/>
          <w:w w:val="105"/>
          <w:sz w:val="22"/>
        </w:rPr>
        <w:t> </w:t>
      </w:r>
      <w:r>
        <w:rPr>
          <w:w w:val="105"/>
          <w:sz w:val="22"/>
        </w:rPr>
        <w:t>attivi</w:t>
      </w:r>
      <w:r>
        <w:rPr>
          <w:spacing w:val="-10"/>
          <w:w w:val="105"/>
          <w:sz w:val="22"/>
        </w:rPr>
        <w:t> </w:t>
      </w:r>
      <w:r>
        <w:rPr>
          <w:w w:val="105"/>
          <w:sz w:val="22"/>
        </w:rPr>
        <w:t>patrimoniali,</w:t>
      </w:r>
      <w:r>
        <w:rPr>
          <w:spacing w:val="-10"/>
          <w:w w:val="105"/>
          <w:sz w:val="22"/>
        </w:rPr>
        <w:t> </w:t>
      </w:r>
      <w:r>
        <w:rPr>
          <w:w w:val="105"/>
          <w:sz w:val="22"/>
        </w:rPr>
        <w:t>non</w:t>
      </w:r>
      <w:r>
        <w:rPr>
          <w:spacing w:val="-12"/>
          <w:w w:val="105"/>
          <w:sz w:val="22"/>
        </w:rPr>
        <w:t> </w:t>
      </w:r>
      <w:r>
        <w:rPr>
          <w:w w:val="105"/>
          <w:sz w:val="22"/>
        </w:rPr>
        <w:t>ricompresi</w:t>
      </w:r>
      <w:r>
        <w:rPr>
          <w:spacing w:val="-10"/>
          <w:w w:val="105"/>
          <w:sz w:val="22"/>
        </w:rPr>
        <w:t> </w:t>
      </w:r>
      <w:r>
        <w:rPr>
          <w:w w:val="105"/>
          <w:sz w:val="22"/>
        </w:rPr>
        <w:t>nel Ramo Biochemtex, al netto della cassa che verrà assorbita fino alla conclusione della liquidazione della Società, come meglio indicato nel Piano (gli “</w:t>
      </w:r>
      <w:r>
        <w:rPr>
          <w:b/>
          <w:w w:val="105"/>
          <w:sz w:val="22"/>
        </w:rPr>
        <w:t>Altri Attivi</w:t>
      </w:r>
      <w:r>
        <w:rPr>
          <w:w w:val="105"/>
          <w:sz w:val="22"/>
        </w:rPr>
        <w:t>”), tra cui, in particolare, i flussi</w:t>
      </w:r>
      <w:r>
        <w:rPr>
          <w:spacing w:val="-16"/>
          <w:w w:val="105"/>
          <w:sz w:val="22"/>
        </w:rPr>
        <w:t> </w:t>
      </w:r>
      <w:r>
        <w:rPr>
          <w:w w:val="105"/>
          <w:sz w:val="22"/>
        </w:rPr>
        <w:t>che</w:t>
      </w:r>
      <w:r>
        <w:rPr>
          <w:spacing w:val="-16"/>
          <w:w w:val="105"/>
          <w:sz w:val="22"/>
        </w:rPr>
        <w:t> </w:t>
      </w:r>
      <w:r>
        <w:rPr>
          <w:w w:val="105"/>
          <w:sz w:val="22"/>
        </w:rPr>
        <w:t>perverranno</w:t>
      </w:r>
      <w:r>
        <w:rPr>
          <w:spacing w:val="-15"/>
          <w:w w:val="105"/>
          <w:sz w:val="22"/>
        </w:rPr>
        <w:t> </w:t>
      </w:r>
      <w:r>
        <w:rPr>
          <w:w w:val="105"/>
          <w:sz w:val="22"/>
        </w:rPr>
        <w:t>dal</w:t>
      </w:r>
      <w:r>
        <w:rPr>
          <w:spacing w:val="-15"/>
          <w:w w:val="105"/>
          <w:sz w:val="22"/>
        </w:rPr>
        <w:t> </w:t>
      </w:r>
      <w:r>
        <w:rPr>
          <w:w w:val="105"/>
          <w:sz w:val="22"/>
        </w:rPr>
        <w:t>concordato</w:t>
      </w:r>
      <w:r>
        <w:rPr>
          <w:spacing w:val="-17"/>
          <w:w w:val="105"/>
          <w:sz w:val="22"/>
        </w:rPr>
        <w:t> </w:t>
      </w:r>
      <w:r>
        <w:rPr>
          <w:w w:val="105"/>
          <w:sz w:val="22"/>
        </w:rPr>
        <w:t>di</w:t>
      </w:r>
      <w:r>
        <w:rPr>
          <w:spacing w:val="-16"/>
          <w:w w:val="105"/>
          <w:sz w:val="22"/>
        </w:rPr>
        <w:t> </w:t>
      </w:r>
      <w:r>
        <w:rPr>
          <w:w w:val="105"/>
          <w:sz w:val="22"/>
        </w:rPr>
        <w:t>Beta</w:t>
      </w:r>
      <w:r>
        <w:rPr>
          <w:spacing w:val="-15"/>
          <w:w w:val="105"/>
          <w:sz w:val="22"/>
        </w:rPr>
        <w:t> </w:t>
      </w:r>
      <w:r>
        <w:rPr>
          <w:w w:val="105"/>
          <w:sz w:val="22"/>
        </w:rPr>
        <w:t>e</w:t>
      </w:r>
      <w:r>
        <w:rPr>
          <w:spacing w:val="-16"/>
          <w:w w:val="105"/>
          <w:sz w:val="22"/>
        </w:rPr>
        <w:t> </w:t>
      </w:r>
      <w:r>
        <w:rPr>
          <w:w w:val="105"/>
          <w:sz w:val="22"/>
        </w:rPr>
        <w:t>di</w:t>
      </w:r>
      <w:r>
        <w:rPr>
          <w:spacing w:val="-16"/>
          <w:w w:val="105"/>
          <w:sz w:val="22"/>
        </w:rPr>
        <w:t> </w:t>
      </w:r>
      <w:r>
        <w:rPr>
          <w:w w:val="105"/>
          <w:sz w:val="22"/>
        </w:rPr>
        <w:t>IBP</w:t>
      </w:r>
      <w:r>
        <w:rPr>
          <w:spacing w:val="-16"/>
          <w:w w:val="105"/>
          <w:sz w:val="22"/>
        </w:rPr>
        <w:t> </w:t>
      </w:r>
      <w:r>
        <w:rPr>
          <w:w w:val="105"/>
          <w:sz w:val="22"/>
        </w:rPr>
        <w:t>Energia;</w:t>
      </w:r>
    </w:p>
    <w:p>
      <w:pPr>
        <w:pStyle w:val="ListParagraph"/>
        <w:numPr>
          <w:ilvl w:val="0"/>
          <w:numId w:val="5"/>
        </w:numPr>
        <w:tabs>
          <w:tab w:pos="1346" w:val="left" w:leader="none"/>
        </w:tabs>
        <w:spacing w:line="487" w:lineRule="auto" w:before="0" w:after="0"/>
        <w:ind w:left="1346" w:right="2196" w:hanging="690"/>
        <w:jc w:val="both"/>
        <w:rPr>
          <w:sz w:val="22"/>
        </w:rPr>
      </w:pPr>
      <w:r>
        <w:rPr>
          <w:w w:val="105"/>
          <w:sz w:val="22"/>
        </w:rPr>
        <w:t>la vendita dell’immobile sito in Modugno (“</w:t>
      </w:r>
      <w:r>
        <w:rPr>
          <w:b/>
          <w:w w:val="105"/>
          <w:sz w:val="22"/>
        </w:rPr>
        <w:t>Immobile Modugno</w:t>
      </w:r>
      <w:r>
        <w:rPr>
          <w:w w:val="105"/>
          <w:sz w:val="22"/>
        </w:rPr>
        <w:t>”) il cui valore “minimo” – e fermo l’eventuale </w:t>
      </w:r>
      <w:r>
        <w:rPr>
          <w:i/>
          <w:w w:val="105"/>
          <w:sz w:val="22"/>
        </w:rPr>
        <w:t>plus </w:t>
      </w:r>
      <w:r>
        <w:rPr>
          <w:w w:val="105"/>
          <w:sz w:val="22"/>
        </w:rPr>
        <w:t>valore</w:t>
      </w:r>
      <w:r>
        <w:rPr>
          <w:spacing w:val="-10"/>
          <w:w w:val="105"/>
          <w:sz w:val="22"/>
        </w:rPr>
        <w:t> </w:t>
      </w:r>
      <w:r>
        <w:rPr>
          <w:w w:val="105"/>
          <w:sz w:val="22"/>
        </w:rPr>
        <w:t>che</w:t>
      </w:r>
      <w:r>
        <w:rPr>
          <w:spacing w:val="-10"/>
          <w:w w:val="105"/>
          <w:sz w:val="22"/>
        </w:rPr>
        <w:t> </w:t>
      </w:r>
      <w:r>
        <w:rPr>
          <w:w w:val="105"/>
          <w:sz w:val="22"/>
        </w:rPr>
        <w:t>dovesse</w:t>
      </w:r>
      <w:r>
        <w:rPr>
          <w:spacing w:val="-10"/>
          <w:w w:val="105"/>
          <w:sz w:val="22"/>
        </w:rPr>
        <w:t> </w:t>
      </w:r>
      <w:r>
        <w:rPr>
          <w:w w:val="105"/>
          <w:sz w:val="22"/>
        </w:rPr>
        <w:t>risultare</w:t>
      </w:r>
      <w:r>
        <w:rPr>
          <w:spacing w:val="-8"/>
          <w:w w:val="105"/>
          <w:sz w:val="22"/>
        </w:rPr>
        <w:t> </w:t>
      </w:r>
      <w:r>
        <w:rPr>
          <w:w w:val="105"/>
          <w:sz w:val="22"/>
        </w:rPr>
        <w:t>all’esito</w:t>
      </w:r>
      <w:r>
        <w:rPr>
          <w:spacing w:val="-10"/>
          <w:w w:val="105"/>
          <w:sz w:val="22"/>
        </w:rPr>
        <w:t> </w:t>
      </w:r>
      <w:r>
        <w:rPr>
          <w:w w:val="105"/>
          <w:sz w:val="22"/>
        </w:rPr>
        <w:t>dell’instauranda</w:t>
      </w:r>
      <w:r>
        <w:rPr>
          <w:spacing w:val="-9"/>
          <w:w w:val="105"/>
          <w:sz w:val="22"/>
        </w:rPr>
        <w:t> </w:t>
      </w:r>
      <w:r>
        <w:rPr>
          <w:w w:val="105"/>
          <w:sz w:val="22"/>
        </w:rPr>
        <w:t>procedura</w:t>
      </w:r>
      <w:r>
        <w:rPr>
          <w:spacing w:val="-10"/>
          <w:w w:val="105"/>
          <w:sz w:val="22"/>
        </w:rPr>
        <w:t> </w:t>
      </w:r>
      <w:r>
        <w:rPr>
          <w:w w:val="105"/>
          <w:sz w:val="22"/>
        </w:rPr>
        <w:t>di vendita competitiva – è stato determinato in misura pari ad</w:t>
      </w:r>
      <w:r>
        <w:rPr>
          <w:spacing w:val="-34"/>
          <w:w w:val="105"/>
          <w:sz w:val="22"/>
        </w:rPr>
        <w:t> </w:t>
      </w:r>
      <w:r>
        <w:rPr>
          <w:w w:val="105"/>
          <w:sz w:val="22"/>
        </w:rPr>
        <w:t>Euro 1.050.000,00</w:t>
      </w:r>
      <w:r>
        <w:rPr>
          <w:spacing w:val="-8"/>
          <w:w w:val="105"/>
          <w:sz w:val="22"/>
        </w:rPr>
        <w:t> </w:t>
      </w:r>
      <w:r>
        <w:rPr>
          <w:w w:val="105"/>
          <w:sz w:val="22"/>
        </w:rPr>
        <w:t>sulla</w:t>
      </w:r>
      <w:r>
        <w:rPr>
          <w:spacing w:val="-8"/>
          <w:w w:val="105"/>
          <w:sz w:val="22"/>
        </w:rPr>
        <w:t> </w:t>
      </w:r>
      <w:r>
        <w:rPr>
          <w:w w:val="105"/>
          <w:sz w:val="22"/>
        </w:rPr>
        <w:t>base</w:t>
      </w:r>
      <w:r>
        <w:rPr>
          <w:spacing w:val="-7"/>
          <w:w w:val="105"/>
          <w:sz w:val="22"/>
        </w:rPr>
        <w:t> </w:t>
      </w:r>
      <w:r>
        <w:rPr>
          <w:w w:val="105"/>
          <w:sz w:val="22"/>
        </w:rPr>
        <w:t>della</w:t>
      </w:r>
      <w:r>
        <w:rPr>
          <w:spacing w:val="-8"/>
          <w:w w:val="105"/>
          <w:sz w:val="22"/>
        </w:rPr>
        <w:t> </w:t>
      </w:r>
      <w:r>
        <w:rPr>
          <w:w w:val="105"/>
          <w:sz w:val="22"/>
        </w:rPr>
        <w:t>perizia</w:t>
      </w:r>
      <w:r>
        <w:rPr>
          <w:spacing w:val="-8"/>
          <w:w w:val="105"/>
          <w:sz w:val="22"/>
        </w:rPr>
        <w:t> </w:t>
      </w:r>
      <w:r>
        <w:rPr>
          <w:w w:val="105"/>
          <w:sz w:val="22"/>
        </w:rPr>
        <w:t>redata</w:t>
      </w:r>
      <w:r>
        <w:rPr>
          <w:spacing w:val="-7"/>
          <w:w w:val="105"/>
          <w:sz w:val="22"/>
        </w:rPr>
        <w:t> </w:t>
      </w:r>
      <w:r>
        <w:rPr>
          <w:w w:val="105"/>
          <w:sz w:val="22"/>
        </w:rPr>
        <w:t>da</w:t>
      </w:r>
      <w:r>
        <w:rPr>
          <w:spacing w:val="-7"/>
          <w:w w:val="105"/>
          <w:sz w:val="22"/>
        </w:rPr>
        <w:t> </w:t>
      </w:r>
      <w:r>
        <w:rPr>
          <w:w w:val="105"/>
          <w:sz w:val="22"/>
        </w:rPr>
        <w:t>Arch.</w:t>
      </w:r>
      <w:r>
        <w:rPr>
          <w:spacing w:val="-7"/>
          <w:w w:val="105"/>
          <w:sz w:val="22"/>
        </w:rPr>
        <w:t> </w:t>
      </w:r>
      <w:r>
        <w:rPr>
          <w:w w:val="105"/>
          <w:sz w:val="22"/>
        </w:rPr>
        <w:t>Massimiliano Bolamperti</w:t>
      </w:r>
      <w:r>
        <w:rPr>
          <w:spacing w:val="-14"/>
          <w:w w:val="105"/>
          <w:sz w:val="22"/>
        </w:rPr>
        <w:t> </w:t>
      </w:r>
      <w:r>
        <w:rPr>
          <w:w w:val="105"/>
          <w:sz w:val="22"/>
        </w:rPr>
        <w:t>,</w:t>
      </w:r>
      <w:r>
        <w:rPr>
          <w:spacing w:val="-15"/>
          <w:w w:val="105"/>
          <w:sz w:val="22"/>
        </w:rPr>
        <w:t> </w:t>
      </w:r>
      <w:r>
        <w:rPr>
          <w:w w:val="105"/>
          <w:sz w:val="22"/>
        </w:rPr>
        <w:t>al</w:t>
      </w:r>
      <w:r>
        <w:rPr>
          <w:spacing w:val="-14"/>
          <w:w w:val="105"/>
          <w:sz w:val="22"/>
        </w:rPr>
        <w:t> </w:t>
      </w:r>
      <w:r>
        <w:rPr>
          <w:w w:val="105"/>
          <w:sz w:val="22"/>
        </w:rPr>
        <w:t>lordo</w:t>
      </w:r>
      <w:r>
        <w:rPr>
          <w:spacing w:val="-15"/>
          <w:w w:val="105"/>
          <w:sz w:val="22"/>
        </w:rPr>
        <w:t> </w:t>
      </w:r>
      <w:r>
        <w:rPr>
          <w:w w:val="105"/>
          <w:sz w:val="22"/>
        </w:rPr>
        <w:t>degli</w:t>
      </w:r>
      <w:r>
        <w:rPr>
          <w:spacing w:val="-15"/>
          <w:w w:val="105"/>
          <w:sz w:val="22"/>
        </w:rPr>
        <w:t> </w:t>
      </w:r>
      <w:r>
        <w:rPr>
          <w:w w:val="105"/>
          <w:sz w:val="22"/>
        </w:rPr>
        <w:t>oneri</w:t>
      </w:r>
      <w:r>
        <w:rPr>
          <w:spacing w:val="-15"/>
          <w:w w:val="105"/>
          <w:sz w:val="22"/>
        </w:rPr>
        <w:t> </w:t>
      </w:r>
      <w:r>
        <w:rPr>
          <w:w w:val="105"/>
          <w:sz w:val="22"/>
        </w:rPr>
        <w:t>di</w:t>
      </w:r>
      <w:r>
        <w:rPr>
          <w:spacing w:val="-15"/>
          <w:w w:val="105"/>
          <w:sz w:val="22"/>
        </w:rPr>
        <w:t> </w:t>
      </w:r>
      <w:r>
        <w:rPr>
          <w:w w:val="105"/>
          <w:sz w:val="22"/>
        </w:rPr>
        <w:t>adeguamento</w:t>
      </w:r>
      <w:r>
        <w:rPr>
          <w:spacing w:val="-15"/>
          <w:w w:val="105"/>
          <w:sz w:val="22"/>
        </w:rPr>
        <w:t> </w:t>
      </w:r>
      <w:r>
        <w:rPr>
          <w:w w:val="105"/>
          <w:sz w:val="22"/>
        </w:rPr>
        <w:t>(cfr.</w:t>
      </w:r>
      <w:r>
        <w:rPr>
          <w:spacing w:val="-15"/>
          <w:w w:val="105"/>
          <w:sz w:val="22"/>
        </w:rPr>
        <w:t> </w:t>
      </w:r>
      <w:r>
        <w:rPr>
          <w:w w:val="105"/>
          <w:sz w:val="22"/>
        </w:rPr>
        <w:t>doc.</w:t>
      </w:r>
      <w:r>
        <w:rPr>
          <w:spacing w:val="-15"/>
          <w:w w:val="105"/>
          <w:sz w:val="22"/>
        </w:rPr>
        <w:t> </w:t>
      </w:r>
      <w:r>
        <w:rPr>
          <w:w w:val="105"/>
          <w:sz w:val="22"/>
        </w:rPr>
        <w:t>n.</w:t>
      </w:r>
      <w:r>
        <w:rPr>
          <w:spacing w:val="-15"/>
          <w:w w:val="105"/>
          <w:sz w:val="22"/>
        </w:rPr>
        <w:t> </w:t>
      </w:r>
      <w:r>
        <w:rPr>
          <w:w w:val="105"/>
          <w:sz w:val="22"/>
        </w:rPr>
        <w:t>45)</w:t>
      </w:r>
      <w:r>
        <w:rPr>
          <w:spacing w:val="-15"/>
          <w:w w:val="105"/>
          <w:sz w:val="22"/>
        </w:rPr>
        <w:t> </w:t>
      </w:r>
      <w:r>
        <w:rPr>
          <w:w w:val="105"/>
          <w:sz w:val="22"/>
        </w:rPr>
        <w:t>;</w:t>
      </w:r>
    </w:p>
    <w:p>
      <w:pPr>
        <w:pStyle w:val="ListParagraph"/>
        <w:numPr>
          <w:ilvl w:val="0"/>
          <w:numId w:val="5"/>
        </w:numPr>
        <w:tabs>
          <w:tab w:pos="1346" w:val="left" w:leader="none"/>
        </w:tabs>
        <w:spacing w:line="487" w:lineRule="auto" w:before="1" w:after="0"/>
        <w:ind w:left="1346" w:right="2195" w:hanging="666"/>
        <w:jc w:val="both"/>
        <w:rPr>
          <w:sz w:val="22"/>
        </w:rPr>
      </w:pPr>
      <w:r>
        <w:rPr>
          <w:w w:val="105"/>
          <w:sz w:val="22"/>
        </w:rPr>
        <w:t>nel periodo necessario a svolgere le suddette attività liquidatorie, la gestione della Società secondo criteri di limitata operatività e contenimento</w:t>
      </w:r>
      <w:r>
        <w:rPr>
          <w:spacing w:val="-7"/>
          <w:w w:val="105"/>
          <w:sz w:val="22"/>
        </w:rPr>
        <w:t> </w:t>
      </w:r>
      <w:r>
        <w:rPr>
          <w:w w:val="105"/>
          <w:sz w:val="22"/>
        </w:rPr>
        <w:t>dei</w:t>
      </w:r>
      <w:r>
        <w:rPr>
          <w:spacing w:val="-7"/>
          <w:w w:val="105"/>
          <w:sz w:val="22"/>
        </w:rPr>
        <w:t> </w:t>
      </w:r>
      <w:r>
        <w:rPr>
          <w:w w:val="105"/>
          <w:sz w:val="22"/>
        </w:rPr>
        <w:t>costi,</w:t>
      </w:r>
      <w:r>
        <w:rPr>
          <w:spacing w:val="-7"/>
          <w:w w:val="105"/>
          <w:sz w:val="22"/>
        </w:rPr>
        <w:t> </w:t>
      </w:r>
      <w:r>
        <w:rPr>
          <w:w w:val="105"/>
          <w:sz w:val="22"/>
        </w:rPr>
        <w:t>sulla</w:t>
      </w:r>
      <w:r>
        <w:rPr>
          <w:spacing w:val="-7"/>
          <w:w w:val="105"/>
          <w:sz w:val="22"/>
        </w:rPr>
        <w:t> </w:t>
      </w:r>
      <w:r>
        <w:rPr>
          <w:w w:val="105"/>
          <w:sz w:val="22"/>
        </w:rPr>
        <w:t>base</w:t>
      </w:r>
      <w:r>
        <w:rPr>
          <w:spacing w:val="-7"/>
          <w:w w:val="105"/>
          <w:sz w:val="22"/>
        </w:rPr>
        <w:t> </w:t>
      </w:r>
      <w:r>
        <w:rPr>
          <w:w w:val="105"/>
          <w:sz w:val="22"/>
        </w:rPr>
        <w:t>ed</w:t>
      </w:r>
      <w:r>
        <w:rPr>
          <w:spacing w:val="-7"/>
          <w:w w:val="105"/>
          <w:sz w:val="22"/>
        </w:rPr>
        <w:t> </w:t>
      </w:r>
      <w:r>
        <w:rPr>
          <w:w w:val="105"/>
          <w:sz w:val="22"/>
        </w:rPr>
        <w:t>in</w:t>
      </w:r>
      <w:r>
        <w:rPr>
          <w:spacing w:val="-7"/>
          <w:w w:val="105"/>
          <w:sz w:val="22"/>
        </w:rPr>
        <w:t> </w:t>
      </w:r>
      <w:r>
        <w:rPr>
          <w:w w:val="105"/>
          <w:sz w:val="22"/>
        </w:rPr>
        <w:t>esecuzione</w:t>
      </w:r>
      <w:r>
        <w:rPr>
          <w:spacing w:val="-7"/>
          <w:w w:val="105"/>
          <w:sz w:val="22"/>
        </w:rPr>
        <w:t> </w:t>
      </w:r>
      <w:r>
        <w:rPr>
          <w:w w:val="105"/>
          <w:sz w:val="22"/>
        </w:rPr>
        <w:t>di</w:t>
      </w:r>
      <w:r>
        <w:rPr>
          <w:spacing w:val="-7"/>
          <w:w w:val="105"/>
          <w:sz w:val="22"/>
        </w:rPr>
        <w:t> </w:t>
      </w:r>
      <w:r>
        <w:rPr>
          <w:w w:val="105"/>
          <w:sz w:val="22"/>
        </w:rPr>
        <w:t>un</w:t>
      </w:r>
      <w:r>
        <w:rPr>
          <w:spacing w:val="-7"/>
          <w:w w:val="105"/>
          <w:sz w:val="22"/>
        </w:rPr>
        <w:t> </w:t>
      </w:r>
      <w:r>
        <w:rPr>
          <w:w w:val="105"/>
          <w:sz w:val="22"/>
        </w:rPr>
        <w:t>piano</w:t>
      </w:r>
      <w:r>
        <w:rPr>
          <w:spacing w:val="-7"/>
          <w:w w:val="105"/>
          <w:sz w:val="22"/>
        </w:rPr>
        <w:t> </w:t>
      </w:r>
      <w:r>
        <w:rPr>
          <w:w w:val="105"/>
          <w:sz w:val="22"/>
        </w:rPr>
        <w:t>di cassa, facente parte del Piano, che contempla l’arco temporale decorrente</w:t>
      </w:r>
      <w:r>
        <w:rPr>
          <w:spacing w:val="-11"/>
          <w:w w:val="105"/>
          <w:sz w:val="22"/>
        </w:rPr>
        <w:t> </w:t>
      </w:r>
      <w:r>
        <w:rPr>
          <w:w w:val="105"/>
          <w:sz w:val="22"/>
        </w:rPr>
        <w:t>tra</w:t>
      </w:r>
      <w:r>
        <w:rPr>
          <w:spacing w:val="-11"/>
          <w:w w:val="105"/>
          <w:sz w:val="22"/>
        </w:rPr>
        <w:t> </w:t>
      </w:r>
      <w:r>
        <w:rPr>
          <w:w w:val="105"/>
          <w:sz w:val="22"/>
        </w:rPr>
        <w:t>la</w:t>
      </w:r>
      <w:r>
        <w:rPr>
          <w:spacing w:val="-11"/>
          <w:w w:val="105"/>
          <w:sz w:val="22"/>
        </w:rPr>
        <w:t> </w:t>
      </w:r>
      <w:r>
        <w:rPr>
          <w:w w:val="105"/>
          <w:sz w:val="22"/>
        </w:rPr>
        <w:t>data</w:t>
      </w:r>
      <w:r>
        <w:rPr>
          <w:spacing w:val="-11"/>
          <w:w w:val="105"/>
          <w:sz w:val="22"/>
        </w:rPr>
        <w:t> </w:t>
      </w:r>
      <w:r>
        <w:rPr>
          <w:w w:val="105"/>
          <w:sz w:val="22"/>
        </w:rPr>
        <w:t>di</w:t>
      </w:r>
      <w:r>
        <w:rPr>
          <w:spacing w:val="-11"/>
          <w:w w:val="105"/>
          <w:sz w:val="22"/>
        </w:rPr>
        <w:t> </w:t>
      </w:r>
      <w:r>
        <w:rPr>
          <w:w w:val="105"/>
          <w:sz w:val="22"/>
        </w:rPr>
        <w:t>deposito</w:t>
      </w:r>
      <w:r>
        <w:rPr>
          <w:spacing w:val="-11"/>
          <w:w w:val="105"/>
          <w:sz w:val="22"/>
        </w:rPr>
        <w:t> </w:t>
      </w:r>
      <w:r>
        <w:rPr>
          <w:w w:val="105"/>
          <w:sz w:val="22"/>
        </w:rPr>
        <w:t>della</w:t>
      </w:r>
      <w:r>
        <w:rPr>
          <w:spacing w:val="-11"/>
          <w:w w:val="105"/>
          <w:sz w:val="22"/>
        </w:rPr>
        <w:t> </w:t>
      </w:r>
      <w:r>
        <w:rPr>
          <w:w w:val="105"/>
          <w:sz w:val="22"/>
        </w:rPr>
        <w:t>presente</w:t>
      </w:r>
      <w:r>
        <w:rPr>
          <w:spacing w:val="-10"/>
          <w:w w:val="105"/>
          <w:sz w:val="22"/>
        </w:rPr>
        <w:t> </w:t>
      </w:r>
      <w:r>
        <w:rPr>
          <w:w w:val="105"/>
          <w:sz w:val="22"/>
        </w:rPr>
        <w:t>memoria</w:t>
      </w:r>
      <w:r>
        <w:rPr>
          <w:spacing w:val="-11"/>
          <w:w w:val="105"/>
          <w:sz w:val="22"/>
        </w:rPr>
        <w:t> </w:t>
      </w:r>
      <w:r>
        <w:rPr>
          <w:w w:val="105"/>
          <w:sz w:val="22"/>
        </w:rPr>
        <w:t>e</w:t>
      </w:r>
      <w:r>
        <w:rPr>
          <w:spacing w:val="-11"/>
          <w:w w:val="105"/>
          <w:sz w:val="22"/>
        </w:rPr>
        <w:t> </w:t>
      </w:r>
      <w:r>
        <w:rPr>
          <w:w w:val="105"/>
          <w:sz w:val="22"/>
        </w:rPr>
        <w:t>la</w:t>
      </w:r>
      <w:r>
        <w:rPr>
          <w:spacing w:val="-11"/>
          <w:w w:val="105"/>
          <w:sz w:val="22"/>
        </w:rPr>
        <w:t> </w:t>
      </w:r>
      <w:r>
        <w:rPr>
          <w:w w:val="105"/>
          <w:sz w:val="22"/>
        </w:rPr>
        <w:t>data finale</w:t>
      </w:r>
      <w:r>
        <w:rPr>
          <w:spacing w:val="-16"/>
          <w:w w:val="105"/>
          <w:sz w:val="22"/>
        </w:rPr>
        <w:t> </w:t>
      </w:r>
      <w:r>
        <w:rPr>
          <w:w w:val="105"/>
          <w:sz w:val="22"/>
        </w:rPr>
        <w:t>di</w:t>
      </w:r>
      <w:r>
        <w:rPr>
          <w:spacing w:val="-15"/>
          <w:w w:val="105"/>
          <w:sz w:val="22"/>
        </w:rPr>
        <w:t> </w:t>
      </w:r>
      <w:r>
        <w:rPr>
          <w:w w:val="105"/>
          <w:sz w:val="22"/>
        </w:rPr>
        <w:t>adempimento</w:t>
      </w:r>
      <w:r>
        <w:rPr>
          <w:spacing w:val="-14"/>
          <w:w w:val="105"/>
          <w:sz w:val="22"/>
        </w:rPr>
        <w:t> </w:t>
      </w:r>
      <w:r>
        <w:rPr>
          <w:w w:val="105"/>
          <w:sz w:val="22"/>
        </w:rPr>
        <w:t>delle</w:t>
      </w:r>
      <w:r>
        <w:rPr>
          <w:spacing w:val="-15"/>
          <w:w w:val="105"/>
          <w:sz w:val="22"/>
        </w:rPr>
        <w:t> </w:t>
      </w:r>
      <w:r>
        <w:rPr>
          <w:w w:val="105"/>
          <w:sz w:val="22"/>
        </w:rPr>
        <w:t>obbligazioni</w:t>
      </w:r>
      <w:r>
        <w:rPr>
          <w:spacing w:val="-15"/>
          <w:w w:val="105"/>
          <w:sz w:val="22"/>
        </w:rPr>
        <w:t> </w:t>
      </w:r>
      <w:r>
        <w:rPr>
          <w:w w:val="105"/>
          <w:sz w:val="22"/>
        </w:rPr>
        <w:t>concordatarie</w:t>
      </w:r>
      <w:r>
        <w:rPr>
          <w:spacing w:val="-18"/>
          <w:w w:val="105"/>
          <w:sz w:val="22"/>
        </w:rPr>
        <w:t> </w:t>
      </w:r>
      <w:r>
        <w:rPr>
          <w:w w:val="105"/>
          <w:sz w:val="22"/>
        </w:rPr>
        <w:t>(il</w:t>
      </w:r>
      <w:r>
        <w:rPr>
          <w:spacing w:val="-15"/>
          <w:w w:val="105"/>
          <w:sz w:val="22"/>
        </w:rPr>
        <w:t> </w:t>
      </w:r>
      <w:r>
        <w:rPr>
          <w:w w:val="105"/>
          <w:sz w:val="22"/>
        </w:rPr>
        <w:t>“</w:t>
      </w:r>
      <w:r>
        <w:rPr>
          <w:b/>
          <w:w w:val="105"/>
          <w:sz w:val="22"/>
        </w:rPr>
        <w:t>Piano di</w:t>
      </w:r>
      <w:r>
        <w:rPr>
          <w:b/>
          <w:spacing w:val="-18"/>
          <w:w w:val="105"/>
          <w:sz w:val="22"/>
        </w:rPr>
        <w:t> </w:t>
      </w:r>
      <w:r>
        <w:rPr>
          <w:b/>
          <w:w w:val="105"/>
          <w:sz w:val="22"/>
        </w:rPr>
        <w:t>Cassa</w:t>
      </w:r>
      <w:r>
        <w:rPr>
          <w:w w:val="105"/>
          <w:sz w:val="22"/>
        </w:rPr>
        <w:t>”</w:t>
      </w:r>
      <w:r>
        <w:rPr>
          <w:spacing w:val="-19"/>
          <w:w w:val="105"/>
          <w:sz w:val="22"/>
        </w:rPr>
        <w:t> </w:t>
      </w:r>
      <w:r>
        <w:rPr>
          <w:w w:val="105"/>
          <w:sz w:val="22"/>
        </w:rPr>
        <w:t>o</w:t>
      </w:r>
      <w:r>
        <w:rPr>
          <w:spacing w:val="-17"/>
          <w:w w:val="105"/>
          <w:sz w:val="22"/>
        </w:rPr>
        <w:t> </w:t>
      </w:r>
      <w:r>
        <w:rPr>
          <w:w w:val="105"/>
          <w:sz w:val="22"/>
        </w:rPr>
        <w:t>il</w:t>
      </w:r>
      <w:r>
        <w:rPr>
          <w:spacing w:val="-18"/>
          <w:w w:val="105"/>
          <w:sz w:val="22"/>
        </w:rPr>
        <w:t> </w:t>
      </w:r>
      <w:r>
        <w:rPr>
          <w:w w:val="105"/>
          <w:sz w:val="22"/>
        </w:rPr>
        <w:t>“</w:t>
      </w:r>
      <w:r>
        <w:rPr>
          <w:b/>
          <w:w w:val="105"/>
          <w:sz w:val="22"/>
        </w:rPr>
        <w:t>Business</w:t>
      </w:r>
      <w:r>
        <w:rPr>
          <w:b/>
          <w:spacing w:val="-18"/>
          <w:w w:val="105"/>
          <w:sz w:val="22"/>
        </w:rPr>
        <w:t> </w:t>
      </w:r>
      <w:r>
        <w:rPr>
          <w:b/>
          <w:w w:val="105"/>
          <w:sz w:val="22"/>
        </w:rPr>
        <w:t>Plan</w:t>
      </w:r>
      <w:r>
        <w:rPr>
          <w:w w:val="105"/>
          <w:sz w:val="22"/>
        </w:rPr>
        <w:t>”);</w:t>
      </w:r>
    </w:p>
    <w:p>
      <w:pPr>
        <w:pStyle w:val="ListParagraph"/>
        <w:numPr>
          <w:ilvl w:val="0"/>
          <w:numId w:val="5"/>
        </w:numPr>
        <w:tabs>
          <w:tab w:pos="1345" w:val="left" w:leader="none"/>
          <w:tab w:pos="1346" w:val="left" w:leader="none"/>
        </w:tabs>
        <w:spacing w:line="258" w:lineRule="exact" w:before="0" w:after="0"/>
        <w:ind w:left="1346" w:right="0" w:hanging="604"/>
        <w:jc w:val="left"/>
        <w:rPr>
          <w:sz w:val="22"/>
        </w:rPr>
      </w:pPr>
      <w:r>
        <w:rPr>
          <w:w w:val="105"/>
          <w:sz w:val="22"/>
        </w:rPr>
        <w:t>l’Impegno</w:t>
      </w:r>
      <w:r>
        <w:rPr>
          <w:spacing w:val="-19"/>
          <w:w w:val="105"/>
          <w:sz w:val="22"/>
        </w:rPr>
        <w:t> </w:t>
      </w:r>
      <w:r>
        <w:rPr>
          <w:w w:val="105"/>
          <w:sz w:val="22"/>
        </w:rPr>
        <w:t>Ghisolfi</w:t>
      </w:r>
      <w:r>
        <w:rPr>
          <w:spacing w:val="-19"/>
          <w:w w:val="105"/>
          <w:sz w:val="22"/>
        </w:rPr>
        <w:t> </w:t>
      </w:r>
      <w:r>
        <w:rPr>
          <w:w w:val="105"/>
          <w:sz w:val="22"/>
        </w:rPr>
        <w:t>(come</w:t>
      </w:r>
      <w:r>
        <w:rPr>
          <w:spacing w:val="-20"/>
          <w:w w:val="105"/>
          <w:sz w:val="22"/>
        </w:rPr>
        <w:t> </w:t>
      </w:r>
      <w:r>
        <w:rPr>
          <w:w w:val="105"/>
          <w:sz w:val="22"/>
        </w:rPr>
        <w:t>infra</w:t>
      </w:r>
      <w:r>
        <w:rPr>
          <w:spacing w:val="-19"/>
          <w:w w:val="105"/>
          <w:sz w:val="22"/>
        </w:rPr>
        <w:t> </w:t>
      </w:r>
      <w:r>
        <w:rPr>
          <w:w w:val="105"/>
          <w:sz w:val="22"/>
        </w:rPr>
        <w:t>definito,</w:t>
      </w:r>
      <w:r>
        <w:rPr>
          <w:spacing w:val="-19"/>
          <w:w w:val="105"/>
          <w:sz w:val="22"/>
        </w:rPr>
        <w:t> </w:t>
      </w:r>
      <w:r>
        <w:rPr>
          <w:b/>
          <w:w w:val="105"/>
          <w:sz w:val="22"/>
        </w:rPr>
        <w:t>doc.</w:t>
      </w:r>
      <w:r>
        <w:rPr>
          <w:b/>
          <w:spacing w:val="-19"/>
          <w:w w:val="105"/>
          <w:sz w:val="22"/>
        </w:rPr>
        <w:t> </w:t>
      </w:r>
      <w:r>
        <w:rPr>
          <w:b/>
          <w:w w:val="105"/>
          <w:sz w:val="22"/>
        </w:rPr>
        <w:t>67/A</w:t>
      </w:r>
      <w:r>
        <w:rPr>
          <w:b/>
          <w:spacing w:val="-20"/>
          <w:w w:val="105"/>
          <w:sz w:val="22"/>
        </w:rPr>
        <w:t> </w:t>
      </w:r>
      <w:r>
        <w:rPr>
          <w:b/>
          <w:w w:val="105"/>
          <w:sz w:val="22"/>
        </w:rPr>
        <w:t>e</w:t>
      </w:r>
      <w:r>
        <w:rPr>
          <w:b/>
          <w:spacing w:val="-19"/>
          <w:w w:val="105"/>
          <w:sz w:val="22"/>
        </w:rPr>
        <w:t> </w:t>
      </w:r>
      <w:r>
        <w:rPr>
          <w:b/>
          <w:w w:val="105"/>
          <w:sz w:val="22"/>
        </w:rPr>
        <w:t>B</w:t>
      </w:r>
      <w:r>
        <w:rPr>
          <w:w w:val="105"/>
          <w:sz w:val="22"/>
        </w:rPr>
        <w:t>);</w:t>
      </w:r>
    </w:p>
    <w:p>
      <w:pPr>
        <w:pStyle w:val="BodyText"/>
        <w:spacing w:before="2"/>
        <w:rPr>
          <w:sz w:val="21"/>
        </w:rPr>
      </w:pPr>
    </w:p>
    <w:p>
      <w:pPr>
        <w:pStyle w:val="ListParagraph"/>
        <w:numPr>
          <w:ilvl w:val="0"/>
          <w:numId w:val="5"/>
        </w:numPr>
        <w:tabs>
          <w:tab w:pos="1345" w:val="left" w:leader="none"/>
          <w:tab w:pos="1346" w:val="left" w:leader="none"/>
        </w:tabs>
        <w:spacing w:line="240" w:lineRule="auto" w:before="1" w:after="0"/>
        <w:ind w:left="1346" w:right="0" w:hanging="666"/>
        <w:jc w:val="left"/>
        <w:rPr>
          <w:sz w:val="22"/>
        </w:rPr>
      </w:pPr>
      <w:r>
        <w:rPr>
          <w:w w:val="105"/>
          <w:sz w:val="22"/>
        </w:rPr>
        <w:t>l’impegno</w:t>
      </w:r>
      <w:r>
        <w:rPr>
          <w:spacing w:val="-13"/>
          <w:w w:val="105"/>
          <w:sz w:val="22"/>
        </w:rPr>
        <w:t> </w:t>
      </w:r>
      <w:r>
        <w:rPr>
          <w:w w:val="105"/>
          <w:sz w:val="22"/>
        </w:rPr>
        <w:t>assunto</w:t>
      </w:r>
      <w:r>
        <w:rPr>
          <w:spacing w:val="-14"/>
          <w:w w:val="105"/>
          <w:sz w:val="22"/>
        </w:rPr>
        <w:t> </w:t>
      </w:r>
      <w:r>
        <w:rPr>
          <w:w w:val="105"/>
          <w:sz w:val="22"/>
        </w:rPr>
        <w:t>da</w:t>
      </w:r>
      <w:r>
        <w:rPr>
          <w:spacing w:val="-14"/>
          <w:w w:val="105"/>
          <w:sz w:val="22"/>
        </w:rPr>
        <w:t> </w:t>
      </w:r>
      <w:r>
        <w:rPr>
          <w:w w:val="105"/>
          <w:sz w:val="22"/>
        </w:rPr>
        <w:t>Novozymes</w:t>
      </w:r>
      <w:r>
        <w:rPr>
          <w:spacing w:val="-13"/>
          <w:w w:val="105"/>
          <w:sz w:val="22"/>
        </w:rPr>
        <w:t> </w:t>
      </w:r>
      <w:r>
        <w:rPr>
          <w:w w:val="105"/>
          <w:sz w:val="22"/>
        </w:rPr>
        <w:t>a</w:t>
      </w:r>
      <w:r>
        <w:rPr>
          <w:spacing w:val="-14"/>
          <w:w w:val="105"/>
          <w:sz w:val="22"/>
        </w:rPr>
        <w:t> </w:t>
      </w:r>
      <w:r>
        <w:rPr>
          <w:w w:val="105"/>
          <w:sz w:val="22"/>
        </w:rPr>
        <w:t>postergare</w:t>
      </w:r>
      <w:r>
        <w:rPr>
          <w:spacing w:val="-14"/>
          <w:w w:val="105"/>
          <w:sz w:val="22"/>
        </w:rPr>
        <w:t> </w:t>
      </w:r>
      <w:r>
        <w:rPr>
          <w:w w:val="105"/>
          <w:sz w:val="22"/>
        </w:rPr>
        <w:t>volontariamente</w:t>
      </w:r>
      <w:r>
        <w:rPr>
          <w:spacing w:val="-14"/>
          <w:w w:val="105"/>
          <w:sz w:val="22"/>
        </w:rPr>
        <w:t> </w:t>
      </w:r>
      <w:r>
        <w:rPr>
          <w:w w:val="105"/>
          <w:sz w:val="22"/>
        </w:rPr>
        <w:t>il</w:t>
      </w:r>
    </w:p>
    <w:p>
      <w:pPr>
        <w:spacing w:after="0" w:line="240" w:lineRule="auto"/>
        <w:jc w:val="left"/>
        <w:rPr>
          <w:sz w:val="22"/>
        </w:rPr>
        <w:sectPr>
          <w:pgSz w:w="12240" w:h="15840"/>
          <w:pgMar w:header="0" w:footer="790" w:top="1500" w:bottom="980" w:left="1720" w:right="1200"/>
        </w:sectPr>
      </w:pPr>
    </w:p>
    <w:p>
      <w:pPr>
        <w:pStyle w:val="BodyText"/>
        <w:spacing w:line="491" w:lineRule="auto" w:before="105"/>
        <w:ind w:left="1345" w:right="2194"/>
        <w:jc w:val="both"/>
      </w:pPr>
      <w:r>
        <w:rPr>
          <w:w w:val="105"/>
        </w:rPr>
        <w:t>proprio</w:t>
      </w:r>
      <w:r>
        <w:rPr>
          <w:spacing w:val="-9"/>
          <w:w w:val="105"/>
        </w:rPr>
        <w:t> </w:t>
      </w:r>
      <w:r>
        <w:rPr>
          <w:w w:val="105"/>
        </w:rPr>
        <w:t>credito</w:t>
      </w:r>
      <w:r>
        <w:rPr>
          <w:spacing w:val="-10"/>
          <w:w w:val="105"/>
        </w:rPr>
        <w:t> </w:t>
      </w:r>
      <w:r>
        <w:rPr>
          <w:w w:val="105"/>
        </w:rPr>
        <w:t>verso</w:t>
      </w:r>
      <w:r>
        <w:rPr>
          <w:spacing w:val="-9"/>
          <w:w w:val="105"/>
        </w:rPr>
        <w:t> </w:t>
      </w:r>
      <w:r>
        <w:rPr>
          <w:w w:val="105"/>
        </w:rPr>
        <w:t>la</w:t>
      </w:r>
      <w:r>
        <w:rPr>
          <w:spacing w:val="-9"/>
          <w:w w:val="105"/>
        </w:rPr>
        <w:t> </w:t>
      </w:r>
      <w:r>
        <w:rPr>
          <w:w w:val="105"/>
        </w:rPr>
        <w:t>Società,</w:t>
      </w:r>
      <w:r>
        <w:rPr>
          <w:spacing w:val="-9"/>
          <w:w w:val="105"/>
        </w:rPr>
        <w:t> </w:t>
      </w:r>
      <w:r>
        <w:rPr>
          <w:w w:val="105"/>
        </w:rPr>
        <w:t>sotto</w:t>
      </w:r>
      <w:r>
        <w:rPr>
          <w:spacing w:val="-7"/>
          <w:w w:val="105"/>
        </w:rPr>
        <w:t> </w:t>
      </w:r>
      <w:r>
        <w:rPr>
          <w:w w:val="105"/>
        </w:rPr>
        <w:t>condizione</w:t>
      </w:r>
      <w:r>
        <w:rPr>
          <w:spacing w:val="-11"/>
          <w:w w:val="105"/>
        </w:rPr>
        <w:t> </w:t>
      </w:r>
      <w:r>
        <w:rPr>
          <w:w w:val="105"/>
        </w:rPr>
        <w:t>della</w:t>
      </w:r>
      <w:r>
        <w:rPr>
          <w:spacing w:val="-10"/>
          <w:w w:val="105"/>
        </w:rPr>
        <w:t> </w:t>
      </w:r>
      <w:r>
        <w:rPr>
          <w:w w:val="105"/>
        </w:rPr>
        <w:t>pronuncia del Decreto di Omologazione e nei limiti di quanto necessario a consentire</w:t>
      </w:r>
      <w:r>
        <w:rPr>
          <w:spacing w:val="-9"/>
          <w:w w:val="105"/>
        </w:rPr>
        <w:t> </w:t>
      </w:r>
      <w:r>
        <w:rPr>
          <w:w w:val="105"/>
        </w:rPr>
        <w:t>il</w:t>
      </w:r>
      <w:r>
        <w:rPr>
          <w:spacing w:val="-7"/>
          <w:w w:val="105"/>
        </w:rPr>
        <w:t> </w:t>
      </w:r>
      <w:r>
        <w:rPr>
          <w:w w:val="105"/>
        </w:rPr>
        <w:t>pagamento</w:t>
      </w:r>
      <w:r>
        <w:rPr>
          <w:spacing w:val="-7"/>
          <w:w w:val="105"/>
        </w:rPr>
        <w:t> </w:t>
      </w:r>
      <w:r>
        <w:rPr>
          <w:w w:val="105"/>
        </w:rPr>
        <w:t>dei</w:t>
      </w:r>
      <w:r>
        <w:rPr>
          <w:spacing w:val="-8"/>
          <w:w w:val="105"/>
        </w:rPr>
        <w:t> </w:t>
      </w:r>
      <w:r>
        <w:rPr>
          <w:w w:val="105"/>
        </w:rPr>
        <w:t>creditori</w:t>
      </w:r>
      <w:r>
        <w:rPr>
          <w:spacing w:val="-8"/>
          <w:w w:val="105"/>
        </w:rPr>
        <w:t> </w:t>
      </w:r>
      <w:r>
        <w:rPr>
          <w:w w:val="105"/>
        </w:rPr>
        <w:t>chirografari</w:t>
      </w:r>
      <w:r>
        <w:rPr>
          <w:spacing w:val="-7"/>
          <w:w w:val="105"/>
        </w:rPr>
        <w:t> </w:t>
      </w:r>
      <w:r>
        <w:rPr>
          <w:w w:val="105"/>
        </w:rPr>
        <w:t>nella</w:t>
      </w:r>
      <w:r>
        <w:rPr>
          <w:spacing w:val="-7"/>
          <w:w w:val="105"/>
        </w:rPr>
        <w:t> </w:t>
      </w:r>
      <w:r>
        <w:rPr>
          <w:w w:val="105"/>
        </w:rPr>
        <w:t>misura</w:t>
      </w:r>
      <w:r>
        <w:rPr>
          <w:spacing w:val="-7"/>
          <w:w w:val="105"/>
        </w:rPr>
        <w:t> </w:t>
      </w:r>
      <w:r>
        <w:rPr>
          <w:w w:val="105"/>
        </w:rPr>
        <w:t>del 20%</w:t>
      </w:r>
      <w:r>
        <w:rPr>
          <w:spacing w:val="-31"/>
          <w:w w:val="105"/>
        </w:rPr>
        <w:t> </w:t>
      </w:r>
      <w:r>
        <w:rPr>
          <w:w w:val="105"/>
        </w:rPr>
        <w:t>(“</w:t>
      </w:r>
      <w:r>
        <w:rPr>
          <w:b/>
          <w:w w:val="105"/>
        </w:rPr>
        <w:t>Postergazione</w:t>
      </w:r>
      <w:r>
        <w:rPr>
          <w:b/>
          <w:spacing w:val="-31"/>
          <w:w w:val="105"/>
        </w:rPr>
        <w:t> </w:t>
      </w:r>
      <w:r>
        <w:rPr>
          <w:b/>
          <w:w w:val="105"/>
        </w:rPr>
        <w:t>Novozymes</w:t>
      </w:r>
      <w:r>
        <w:rPr>
          <w:w w:val="105"/>
        </w:rPr>
        <w:t>”,</w:t>
      </w:r>
      <w:r>
        <w:rPr>
          <w:spacing w:val="-31"/>
          <w:w w:val="105"/>
        </w:rPr>
        <w:t> </w:t>
      </w:r>
      <w:r>
        <w:rPr>
          <w:b/>
          <w:w w:val="105"/>
        </w:rPr>
        <w:t>doc.</w:t>
      </w:r>
      <w:r>
        <w:rPr>
          <w:b/>
          <w:spacing w:val="-31"/>
          <w:w w:val="105"/>
        </w:rPr>
        <w:t> </w:t>
      </w:r>
      <w:r>
        <w:rPr>
          <w:b/>
          <w:w w:val="105"/>
        </w:rPr>
        <w:t>68</w:t>
      </w:r>
      <w:r>
        <w:rPr>
          <w:w w:val="105"/>
        </w:rPr>
        <w:t>);</w:t>
      </w:r>
    </w:p>
    <w:p>
      <w:pPr>
        <w:pStyle w:val="ListParagraph"/>
        <w:numPr>
          <w:ilvl w:val="0"/>
          <w:numId w:val="5"/>
        </w:numPr>
        <w:tabs>
          <w:tab w:pos="1345" w:val="left" w:leader="none"/>
          <w:tab w:pos="1346" w:val="left" w:leader="none"/>
        </w:tabs>
        <w:spacing w:line="253" w:lineRule="exact" w:before="0" w:after="0"/>
        <w:ind w:left="1346" w:right="0" w:hanging="730"/>
        <w:jc w:val="left"/>
        <w:rPr>
          <w:sz w:val="22"/>
        </w:rPr>
      </w:pPr>
      <w:r>
        <w:rPr>
          <w:w w:val="105"/>
          <w:sz w:val="22"/>
        </w:rPr>
        <w:t>l’Impegno</w:t>
      </w:r>
      <w:r>
        <w:rPr>
          <w:spacing w:val="-20"/>
          <w:w w:val="105"/>
          <w:sz w:val="22"/>
        </w:rPr>
        <w:t> </w:t>
      </w:r>
      <w:r>
        <w:rPr>
          <w:w w:val="105"/>
          <w:sz w:val="22"/>
        </w:rPr>
        <w:t>Eredi</w:t>
      </w:r>
      <w:r>
        <w:rPr>
          <w:spacing w:val="-20"/>
          <w:w w:val="105"/>
          <w:sz w:val="22"/>
        </w:rPr>
        <w:t> </w:t>
      </w:r>
      <w:r>
        <w:rPr>
          <w:w w:val="105"/>
          <w:sz w:val="22"/>
        </w:rPr>
        <w:t>Ghisolfi</w:t>
      </w:r>
      <w:r>
        <w:rPr>
          <w:spacing w:val="-21"/>
          <w:w w:val="105"/>
          <w:sz w:val="22"/>
        </w:rPr>
        <w:t> </w:t>
      </w:r>
      <w:r>
        <w:rPr>
          <w:w w:val="105"/>
          <w:sz w:val="22"/>
        </w:rPr>
        <w:t>(come</w:t>
      </w:r>
      <w:r>
        <w:rPr>
          <w:spacing w:val="-20"/>
          <w:w w:val="105"/>
          <w:sz w:val="22"/>
        </w:rPr>
        <w:t> </w:t>
      </w:r>
      <w:r>
        <w:rPr>
          <w:i/>
          <w:w w:val="105"/>
          <w:sz w:val="22"/>
        </w:rPr>
        <w:t>infra</w:t>
      </w:r>
      <w:r>
        <w:rPr>
          <w:i/>
          <w:spacing w:val="-20"/>
          <w:w w:val="105"/>
          <w:sz w:val="22"/>
        </w:rPr>
        <w:t> </w:t>
      </w:r>
      <w:r>
        <w:rPr>
          <w:w w:val="105"/>
          <w:sz w:val="22"/>
        </w:rPr>
        <w:t>definito,</w:t>
      </w:r>
      <w:r>
        <w:rPr>
          <w:spacing w:val="-21"/>
          <w:w w:val="105"/>
          <w:sz w:val="22"/>
        </w:rPr>
        <w:t> </w:t>
      </w:r>
      <w:r>
        <w:rPr>
          <w:b/>
          <w:w w:val="105"/>
          <w:sz w:val="22"/>
        </w:rPr>
        <w:t>doc.</w:t>
      </w:r>
      <w:r>
        <w:rPr>
          <w:b/>
          <w:spacing w:val="-20"/>
          <w:w w:val="105"/>
          <w:sz w:val="22"/>
        </w:rPr>
        <w:t> </w:t>
      </w:r>
      <w:r>
        <w:rPr>
          <w:b/>
          <w:w w:val="105"/>
          <w:sz w:val="22"/>
        </w:rPr>
        <w:t>69</w:t>
      </w:r>
      <w:r>
        <w:rPr>
          <w:w w:val="105"/>
          <w:sz w:val="22"/>
        </w:rPr>
        <w:t>);</w:t>
      </w:r>
    </w:p>
    <w:p>
      <w:pPr>
        <w:pStyle w:val="BodyText"/>
        <w:spacing w:before="3"/>
        <w:rPr>
          <w:sz w:val="21"/>
        </w:rPr>
      </w:pPr>
    </w:p>
    <w:p>
      <w:pPr>
        <w:pStyle w:val="ListParagraph"/>
        <w:numPr>
          <w:ilvl w:val="0"/>
          <w:numId w:val="5"/>
        </w:numPr>
        <w:tabs>
          <w:tab w:pos="1345" w:val="left" w:leader="none"/>
          <w:tab w:pos="1346" w:val="left" w:leader="none"/>
        </w:tabs>
        <w:spacing w:line="465" w:lineRule="auto" w:before="0" w:after="0"/>
        <w:ind w:left="1346" w:right="2197" w:hanging="794"/>
        <w:jc w:val="left"/>
        <w:rPr>
          <w:sz w:val="22"/>
        </w:rPr>
      </w:pPr>
      <w:r>
        <w:rPr>
          <w:w w:val="105"/>
          <w:sz w:val="22"/>
        </w:rPr>
        <w:t>la Transazione Granbio (come </w:t>
      </w:r>
      <w:r>
        <w:rPr>
          <w:i/>
          <w:w w:val="105"/>
          <w:sz w:val="22"/>
        </w:rPr>
        <w:t>infra </w:t>
      </w:r>
      <w:r>
        <w:rPr>
          <w:w w:val="105"/>
          <w:sz w:val="22"/>
        </w:rPr>
        <w:t>definito, </w:t>
      </w:r>
      <w:r>
        <w:rPr>
          <w:b/>
          <w:w w:val="105"/>
          <w:sz w:val="22"/>
        </w:rPr>
        <w:t>doc. 70</w:t>
      </w:r>
      <w:r>
        <w:rPr>
          <w:w w:val="105"/>
          <w:sz w:val="22"/>
        </w:rPr>
        <w:t>), da assoggettare</w:t>
      </w:r>
      <w:r>
        <w:rPr>
          <w:spacing w:val="-19"/>
          <w:w w:val="105"/>
          <w:sz w:val="22"/>
        </w:rPr>
        <w:t> </w:t>
      </w:r>
      <w:r>
        <w:rPr>
          <w:w w:val="105"/>
          <w:sz w:val="22"/>
        </w:rPr>
        <w:t>ad</w:t>
      </w:r>
      <w:r>
        <w:rPr>
          <w:spacing w:val="-19"/>
          <w:w w:val="105"/>
          <w:sz w:val="22"/>
        </w:rPr>
        <w:t> </w:t>
      </w:r>
      <w:r>
        <w:rPr>
          <w:w w:val="105"/>
          <w:sz w:val="22"/>
        </w:rPr>
        <w:t>autorizzazione</w:t>
      </w:r>
      <w:r>
        <w:rPr>
          <w:spacing w:val="-19"/>
          <w:w w:val="105"/>
          <w:sz w:val="22"/>
        </w:rPr>
        <w:t> </w:t>
      </w:r>
      <w:r>
        <w:rPr>
          <w:w w:val="105"/>
          <w:sz w:val="22"/>
        </w:rPr>
        <w:t>ex</w:t>
      </w:r>
      <w:r>
        <w:rPr>
          <w:spacing w:val="-19"/>
          <w:w w:val="105"/>
          <w:sz w:val="22"/>
        </w:rPr>
        <w:t> </w:t>
      </w:r>
      <w:r>
        <w:rPr>
          <w:w w:val="105"/>
          <w:sz w:val="22"/>
        </w:rPr>
        <w:t>art.</w:t>
      </w:r>
      <w:r>
        <w:rPr>
          <w:spacing w:val="-19"/>
          <w:w w:val="105"/>
          <w:sz w:val="22"/>
        </w:rPr>
        <w:t> </w:t>
      </w:r>
      <w:r>
        <w:rPr>
          <w:w w:val="105"/>
          <w:sz w:val="22"/>
        </w:rPr>
        <w:t>167</w:t>
      </w:r>
      <w:r>
        <w:rPr>
          <w:spacing w:val="-19"/>
          <w:w w:val="105"/>
          <w:sz w:val="22"/>
        </w:rPr>
        <w:t> </w:t>
      </w:r>
      <w:r>
        <w:rPr>
          <w:w w:val="105"/>
          <w:sz w:val="22"/>
        </w:rPr>
        <w:t>legge</w:t>
      </w:r>
      <w:r>
        <w:rPr>
          <w:spacing w:val="-19"/>
          <w:w w:val="105"/>
          <w:sz w:val="22"/>
        </w:rPr>
        <w:t> </w:t>
      </w:r>
      <w:r>
        <w:rPr>
          <w:w w:val="105"/>
          <w:sz w:val="22"/>
        </w:rPr>
        <w:t>fall.;</w:t>
      </w:r>
    </w:p>
    <w:p>
      <w:pPr>
        <w:pStyle w:val="ListParagraph"/>
        <w:numPr>
          <w:ilvl w:val="0"/>
          <w:numId w:val="5"/>
        </w:numPr>
        <w:tabs>
          <w:tab w:pos="1346" w:val="left" w:leader="none"/>
        </w:tabs>
        <w:spacing w:line="480" w:lineRule="auto" w:before="11" w:after="0"/>
        <w:ind w:left="1346" w:right="2194" w:hanging="676"/>
        <w:jc w:val="both"/>
        <w:rPr>
          <w:sz w:val="22"/>
        </w:rPr>
      </w:pPr>
      <w:r>
        <w:rPr>
          <w:w w:val="105"/>
          <w:sz w:val="22"/>
        </w:rPr>
        <w:t>la trasformazione della Società in s.r.l., con caducazione dell’organo</w:t>
      </w:r>
      <w:r>
        <w:rPr>
          <w:spacing w:val="-17"/>
          <w:w w:val="105"/>
          <w:sz w:val="22"/>
        </w:rPr>
        <w:t> </w:t>
      </w:r>
      <w:r>
        <w:rPr>
          <w:w w:val="105"/>
          <w:sz w:val="22"/>
        </w:rPr>
        <w:t>di</w:t>
      </w:r>
      <w:r>
        <w:rPr>
          <w:spacing w:val="-17"/>
          <w:w w:val="105"/>
          <w:sz w:val="22"/>
        </w:rPr>
        <w:t> </w:t>
      </w:r>
      <w:r>
        <w:rPr>
          <w:w w:val="105"/>
          <w:sz w:val="22"/>
        </w:rPr>
        <w:t>controllo</w:t>
      </w:r>
      <w:r>
        <w:rPr>
          <w:spacing w:val="-18"/>
          <w:w w:val="105"/>
          <w:sz w:val="22"/>
        </w:rPr>
        <w:t> </w:t>
      </w:r>
      <w:r>
        <w:rPr>
          <w:w w:val="105"/>
          <w:sz w:val="22"/>
        </w:rPr>
        <w:t>e</w:t>
      </w:r>
      <w:r>
        <w:rPr>
          <w:spacing w:val="-16"/>
          <w:w w:val="105"/>
          <w:sz w:val="22"/>
        </w:rPr>
        <w:t> </w:t>
      </w:r>
      <w:r>
        <w:rPr>
          <w:w w:val="105"/>
          <w:sz w:val="22"/>
        </w:rPr>
        <w:t>con</w:t>
      </w:r>
      <w:r>
        <w:rPr>
          <w:spacing w:val="-17"/>
          <w:w w:val="105"/>
          <w:sz w:val="22"/>
        </w:rPr>
        <w:t> </w:t>
      </w:r>
      <w:r>
        <w:rPr>
          <w:w w:val="105"/>
          <w:sz w:val="22"/>
        </w:rPr>
        <w:t>conseguente</w:t>
      </w:r>
      <w:r>
        <w:rPr>
          <w:spacing w:val="-17"/>
          <w:w w:val="105"/>
          <w:sz w:val="22"/>
        </w:rPr>
        <w:t> </w:t>
      </w:r>
      <w:r>
        <w:rPr>
          <w:w w:val="105"/>
          <w:sz w:val="22"/>
        </w:rPr>
        <w:t>risparmio</w:t>
      </w:r>
      <w:r>
        <w:rPr>
          <w:spacing w:val="-15"/>
          <w:w w:val="105"/>
          <w:sz w:val="22"/>
        </w:rPr>
        <w:t> </w:t>
      </w:r>
      <w:r>
        <w:rPr>
          <w:w w:val="105"/>
          <w:sz w:val="22"/>
        </w:rPr>
        <w:t>sui</w:t>
      </w:r>
      <w:r>
        <w:rPr>
          <w:spacing w:val="-17"/>
          <w:w w:val="105"/>
          <w:sz w:val="22"/>
        </w:rPr>
        <w:t> </w:t>
      </w:r>
      <w:r>
        <w:rPr>
          <w:w w:val="105"/>
          <w:sz w:val="22"/>
        </w:rPr>
        <w:t>costi</w:t>
      </w:r>
      <w:r>
        <w:rPr>
          <w:spacing w:val="-17"/>
          <w:w w:val="105"/>
          <w:sz w:val="22"/>
        </w:rPr>
        <w:t> </w:t>
      </w:r>
      <w:r>
        <w:rPr>
          <w:w w:val="105"/>
          <w:sz w:val="22"/>
        </w:rPr>
        <w:t>fissi della</w:t>
      </w:r>
      <w:r>
        <w:rPr>
          <w:spacing w:val="-27"/>
          <w:w w:val="105"/>
          <w:sz w:val="22"/>
        </w:rPr>
        <w:t> </w:t>
      </w:r>
      <w:r>
        <w:rPr>
          <w:w w:val="105"/>
          <w:sz w:val="22"/>
        </w:rPr>
        <w:t>struttura</w:t>
      </w:r>
      <w:r>
        <w:rPr>
          <w:spacing w:val="-28"/>
          <w:w w:val="105"/>
          <w:sz w:val="22"/>
        </w:rPr>
        <w:t> </w:t>
      </w:r>
      <w:r>
        <w:rPr>
          <w:w w:val="105"/>
          <w:sz w:val="22"/>
        </w:rPr>
        <w:t>societaria;</w:t>
      </w:r>
    </w:p>
    <w:p>
      <w:pPr>
        <w:pStyle w:val="ListParagraph"/>
        <w:numPr>
          <w:ilvl w:val="0"/>
          <w:numId w:val="5"/>
        </w:numPr>
        <w:tabs>
          <w:tab w:pos="1346" w:val="left" w:leader="none"/>
        </w:tabs>
        <w:spacing w:line="465" w:lineRule="auto" w:before="0" w:after="0"/>
        <w:ind w:left="1346" w:right="2199" w:hanging="612"/>
        <w:jc w:val="both"/>
        <w:rPr>
          <w:sz w:val="22"/>
        </w:rPr>
      </w:pPr>
      <w:r>
        <w:rPr>
          <w:w w:val="105"/>
          <w:sz w:val="22"/>
        </w:rPr>
        <w:t>il</w:t>
      </w:r>
      <w:r>
        <w:rPr>
          <w:spacing w:val="-14"/>
          <w:w w:val="105"/>
          <w:sz w:val="22"/>
        </w:rPr>
        <w:t> </w:t>
      </w:r>
      <w:r>
        <w:rPr>
          <w:w w:val="105"/>
          <w:sz w:val="22"/>
        </w:rPr>
        <w:t>Piano</w:t>
      </w:r>
      <w:r>
        <w:rPr>
          <w:spacing w:val="-14"/>
          <w:w w:val="105"/>
          <w:sz w:val="22"/>
        </w:rPr>
        <w:t> </w:t>
      </w:r>
      <w:r>
        <w:rPr>
          <w:w w:val="105"/>
          <w:sz w:val="22"/>
        </w:rPr>
        <w:t>di</w:t>
      </w:r>
      <w:r>
        <w:rPr>
          <w:spacing w:val="-14"/>
          <w:w w:val="105"/>
          <w:sz w:val="22"/>
        </w:rPr>
        <w:t> </w:t>
      </w:r>
      <w:r>
        <w:rPr>
          <w:w w:val="105"/>
          <w:sz w:val="22"/>
        </w:rPr>
        <w:t>Ripagamento</w:t>
      </w:r>
      <w:r>
        <w:rPr>
          <w:spacing w:val="-14"/>
          <w:w w:val="105"/>
          <w:sz w:val="22"/>
        </w:rPr>
        <w:t> </w:t>
      </w:r>
      <w:r>
        <w:rPr>
          <w:w w:val="105"/>
          <w:sz w:val="22"/>
        </w:rPr>
        <w:t>che</w:t>
      </w:r>
      <w:r>
        <w:rPr>
          <w:spacing w:val="-14"/>
          <w:w w:val="105"/>
          <w:sz w:val="22"/>
        </w:rPr>
        <w:t> </w:t>
      </w:r>
      <w:r>
        <w:rPr>
          <w:w w:val="105"/>
          <w:sz w:val="22"/>
        </w:rPr>
        <w:t>illustra</w:t>
      </w:r>
      <w:r>
        <w:rPr>
          <w:spacing w:val="-14"/>
          <w:w w:val="105"/>
          <w:sz w:val="22"/>
        </w:rPr>
        <w:t> </w:t>
      </w:r>
      <w:r>
        <w:rPr>
          <w:w w:val="105"/>
          <w:sz w:val="22"/>
        </w:rPr>
        <w:t>le</w:t>
      </w:r>
      <w:r>
        <w:rPr>
          <w:spacing w:val="-14"/>
          <w:w w:val="105"/>
          <w:sz w:val="22"/>
        </w:rPr>
        <w:t> </w:t>
      </w:r>
      <w:r>
        <w:rPr>
          <w:w w:val="105"/>
          <w:sz w:val="22"/>
        </w:rPr>
        <w:t>tempistiche</w:t>
      </w:r>
      <w:r>
        <w:rPr>
          <w:spacing w:val="-16"/>
          <w:w w:val="105"/>
          <w:sz w:val="22"/>
        </w:rPr>
        <w:t> </w:t>
      </w:r>
      <w:r>
        <w:rPr>
          <w:w w:val="105"/>
          <w:sz w:val="22"/>
        </w:rPr>
        <w:t>di</w:t>
      </w:r>
      <w:r>
        <w:rPr>
          <w:spacing w:val="-14"/>
          <w:w w:val="105"/>
          <w:sz w:val="22"/>
        </w:rPr>
        <w:t> </w:t>
      </w:r>
      <w:r>
        <w:rPr>
          <w:w w:val="105"/>
          <w:sz w:val="22"/>
        </w:rPr>
        <w:t>rimborso</w:t>
      </w:r>
      <w:r>
        <w:rPr>
          <w:spacing w:val="-14"/>
          <w:w w:val="105"/>
          <w:sz w:val="22"/>
        </w:rPr>
        <w:t> </w:t>
      </w:r>
      <w:r>
        <w:rPr>
          <w:w w:val="105"/>
          <w:sz w:val="22"/>
        </w:rPr>
        <w:t>dei creditori</w:t>
      </w:r>
      <w:r>
        <w:rPr>
          <w:spacing w:val="-19"/>
          <w:w w:val="105"/>
          <w:sz w:val="22"/>
        </w:rPr>
        <w:t> </w:t>
      </w:r>
      <w:r>
        <w:rPr>
          <w:w w:val="105"/>
          <w:sz w:val="22"/>
        </w:rPr>
        <w:t>ed</w:t>
      </w:r>
      <w:r>
        <w:rPr>
          <w:spacing w:val="-17"/>
          <w:w w:val="105"/>
          <w:sz w:val="22"/>
        </w:rPr>
        <w:t> </w:t>
      </w:r>
      <w:r>
        <w:rPr>
          <w:w w:val="105"/>
          <w:sz w:val="22"/>
        </w:rPr>
        <w:t>il</w:t>
      </w:r>
      <w:r>
        <w:rPr>
          <w:spacing w:val="-17"/>
          <w:w w:val="105"/>
          <w:sz w:val="22"/>
        </w:rPr>
        <w:t> </w:t>
      </w:r>
      <w:r>
        <w:rPr>
          <w:w w:val="105"/>
          <w:sz w:val="22"/>
        </w:rPr>
        <w:t>Business</w:t>
      </w:r>
      <w:r>
        <w:rPr>
          <w:spacing w:val="-17"/>
          <w:w w:val="105"/>
          <w:sz w:val="22"/>
        </w:rPr>
        <w:t> </w:t>
      </w:r>
      <w:r>
        <w:rPr>
          <w:w w:val="105"/>
          <w:sz w:val="22"/>
        </w:rPr>
        <w:t>Plan.</w:t>
      </w:r>
    </w:p>
    <w:p>
      <w:pPr>
        <w:pStyle w:val="ListParagraph"/>
        <w:numPr>
          <w:ilvl w:val="2"/>
          <w:numId w:val="3"/>
        </w:numPr>
        <w:tabs>
          <w:tab w:pos="1057" w:val="left" w:leader="none"/>
        </w:tabs>
        <w:spacing w:line="491" w:lineRule="auto" w:before="31" w:after="0"/>
        <w:ind w:left="400" w:right="2195" w:firstLine="338"/>
        <w:jc w:val="both"/>
        <w:rPr>
          <w:sz w:val="22"/>
        </w:rPr>
      </w:pPr>
      <w:r>
        <w:rPr>
          <w:w w:val="105"/>
          <w:sz w:val="22"/>
        </w:rPr>
        <w:t>per la realizzazione dell’attivo concordatario, non ricompreso nel “Perimetro Bio”, il Consiglio di Amministrazione di Biochemtex si rende disponibile</w:t>
      </w:r>
      <w:r>
        <w:rPr>
          <w:spacing w:val="-13"/>
          <w:w w:val="105"/>
          <w:sz w:val="22"/>
        </w:rPr>
        <w:t> </w:t>
      </w:r>
      <w:r>
        <w:rPr>
          <w:w w:val="105"/>
          <w:sz w:val="22"/>
        </w:rPr>
        <w:t>a</w:t>
      </w:r>
      <w:r>
        <w:rPr>
          <w:spacing w:val="-13"/>
          <w:w w:val="105"/>
          <w:sz w:val="22"/>
        </w:rPr>
        <w:t> </w:t>
      </w:r>
      <w:r>
        <w:rPr>
          <w:w w:val="105"/>
          <w:sz w:val="22"/>
        </w:rPr>
        <w:t>coadiuvare</w:t>
      </w:r>
      <w:r>
        <w:rPr>
          <w:spacing w:val="-14"/>
          <w:w w:val="105"/>
          <w:sz w:val="22"/>
        </w:rPr>
        <w:t> </w:t>
      </w:r>
      <w:r>
        <w:rPr>
          <w:w w:val="105"/>
          <w:sz w:val="22"/>
        </w:rPr>
        <w:t>gratuitamente</w:t>
      </w:r>
      <w:r>
        <w:rPr>
          <w:spacing w:val="-12"/>
          <w:w w:val="105"/>
          <w:sz w:val="22"/>
        </w:rPr>
        <w:t> </w:t>
      </w:r>
      <w:r>
        <w:rPr>
          <w:w w:val="105"/>
          <w:sz w:val="22"/>
        </w:rPr>
        <w:t>il</w:t>
      </w:r>
      <w:r>
        <w:rPr>
          <w:spacing w:val="-12"/>
          <w:w w:val="105"/>
          <w:sz w:val="22"/>
        </w:rPr>
        <w:t> </w:t>
      </w:r>
      <w:r>
        <w:rPr>
          <w:w w:val="105"/>
          <w:sz w:val="22"/>
        </w:rPr>
        <w:t>nominando</w:t>
      </w:r>
      <w:r>
        <w:rPr>
          <w:spacing w:val="-13"/>
          <w:w w:val="105"/>
          <w:sz w:val="22"/>
        </w:rPr>
        <w:t> </w:t>
      </w:r>
      <w:r>
        <w:rPr>
          <w:w w:val="105"/>
          <w:sz w:val="22"/>
        </w:rPr>
        <w:t>Liquidatore</w:t>
      </w:r>
      <w:r>
        <w:rPr>
          <w:spacing w:val="-14"/>
          <w:w w:val="105"/>
          <w:sz w:val="22"/>
        </w:rPr>
        <w:t> </w:t>
      </w:r>
      <w:r>
        <w:rPr>
          <w:w w:val="105"/>
          <w:sz w:val="22"/>
        </w:rPr>
        <w:t>Giudiziale, che, una volta nominato in esito al giudizio di omologa, provvederà alla liquidazione dei cespiti sociali secondo il modello legale prescritto dall’art. 182 l. fall. e che sarà definito da codesto Ill.mo Tribunale nel decreto di cui all’art.</w:t>
      </w:r>
      <w:r>
        <w:rPr>
          <w:spacing w:val="-19"/>
          <w:w w:val="105"/>
          <w:sz w:val="22"/>
        </w:rPr>
        <w:t> </w:t>
      </w:r>
      <w:r>
        <w:rPr>
          <w:w w:val="105"/>
          <w:sz w:val="22"/>
        </w:rPr>
        <w:t>180</w:t>
      </w:r>
      <w:r>
        <w:rPr>
          <w:spacing w:val="-19"/>
          <w:w w:val="105"/>
          <w:sz w:val="22"/>
        </w:rPr>
        <w:t> </w:t>
      </w:r>
      <w:r>
        <w:rPr>
          <w:w w:val="105"/>
          <w:sz w:val="22"/>
        </w:rPr>
        <w:t>legge</w:t>
      </w:r>
      <w:r>
        <w:rPr>
          <w:spacing w:val="-19"/>
          <w:w w:val="105"/>
          <w:sz w:val="22"/>
        </w:rPr>
        <w:t> </w:t>
      </w:r>
      <w:r>
        <w:rPr>
          <w:w w:val="105"/>
          <w:sz w:val="22"/>
        </w:rPr>
        <w:t>fall.;</w:t>
      </w:r>
    </w:p>
    <w:p>
      <w:pPr>
        <w:pStyle w:val="ListParagraph"/>
        <w:numPr>
          <w:ilvl w:val="2"/>
          <w:numId w:val="3"/>
        </w:numPr>
        <w:tabs>
          <w:tab w:pos="1073" w:val="left" w:leader="none"/>
        </w:tabs>
        <w:spacing w:line="491" w:lineRule="auto" w:before="0" w:after="0"/>
        <w:ind w:left="400" w:right="2195" w:firstLine="338"/>
        <w:jc w:val="both"/>
        <w:rPr>
          <w:sz w:val="22"/>
        </w:rPr>
      </w:pPr>
      <w:r>
        <w:rPr>
          <w:w w:val="105"/>
          <w:sz w:val="22"/>
        </w:rPr>
        <w:t>con riferimento alle concrete modalità di realizzazione dell’attivo concordatario, la Società rinnova la richiesta che, in ragione della ricezione dell’Offerta Versalis e sulla base delle condizioni previste della stessa, codesto Ill.mo Tribunale disponga, ai sensi dell’art. 163 bis l. fall., di procedere</w:t>
      </w:r>
      <w:r>
        <w:rPr>
          <w:spacing w:val="42"/>
          <w:w w:val="105"/>
          <w:sz w:val="22"/>
        </w:rPr>
        <w:t> </w:t>
      </w:r>
      <w:r>
        <w:rPr>
          <w:w w:val="105"/>
          <w:sz w:val="22"/>
        </w:rPr>
        <w:t>alla</w:t>
      </w:r>
      <w:r>
        <w:rPr>
          <w:spacing w:val="43"/>
          <w:w w:val="105"/>
          <w:sz w:val="22"/>
        </w:rPr>
        <w:t> </w:t>
      </w:r>
      <w:r>
        <w:rPr>
          <w:w w:val="105"/>
          <w:sz w:val="22"/>
        </w:rPr>
        <w:t>sollecitazione</w:t>
      </w:r>
      <w:r>
        <w:rPr>
          <w:spacing w:val="43"/>
          <w:w w:val="105"/>
          <w:sz w:val="22"/>
        </w:rPr>
        <w:t> </w:t>
      </w:r>
      <w:r>
        <w:rPr>
          <w:w w:val="105"/>
          <w:sz w:val="22"/>
        </w:rPr>
        <w:t>del</w:t>
      </w:r>
      <w:r>
        <w:rPr>
          <w:spacing w:val="43"/>
          <w:w w:val="105"/>
          <w:sz w:val="22"/>
        </w:rPr>
        <w:t> </w:t>
      </w:r>
      <w:r>
        <w:rPr>
          <w:w w:val="105"/>
          <w:sz w:val="22"/>
        </w:rPr>
        <w:t>mercato</w:t>
      </w:r>
      <w:r>
        <w:rPr>
          <w:spacing w:val="42"/>
          <w:w w:val="105"/>
          <w:sz w:val="22"/>
        </w:rPr>
        <w:t> </w:t>
      </w:r>
      <w:r>
        <w:rPr>
          <w:w w:val="105"/>
          <w:sz w:val="22"/>
        </w:rPr>
        <w:t>a</w:t>
      </w:r>
      <w:r>
        <w:rPr>
          <w:spacing w:val="43"/>
          <w:w w:val="105"/>
          <w:sz w:val="22"/>
        </w:rPr>
        <w:t> </w:t>
      </w:r>
      <w:r>
        <w:rPr>
          <w:w w:val="105"/>
          <w:sz w:val="22"/>
        </w:rPr>
        <w:t>proporre</w:t>
      </w:r>
      <w:r>
        <w:rPr>
          <w:spacing w:val="42"/>
          <w:w w:val="105"/>
          <w:sz w:val="22"/>
        </w:rPr>
        <w:t> </w:t>
      </w:r>
      <w:r>
        <w:rPr>
          <w:w w:val="105"/>
          <w:sz w:val="22"/>
        </w:rPr>
        <w:t>offerte</w:t>
      </w:r>
      <w:r>
        <w:rPr>
          <w:spacing w:val="43"/>
          <w:w w:val="105"/>
          <w:sz w:val="22"/>
        </w:rPr>
        <w:t> </w:t>
      </w:r>
      <w:r>
        <w:rPr>
          <w:w w:val="105"/>
          <w:sz w:val="22"/>
        </w:rPr>
        <w:t>irrevocabili</w:t>
      </w:r>
    </w:p>
    <w:p>
      <w:pPr>
        <w:spacing w:after="0" w:line="491" w:lineRule="auto"/>
        <w:jc w:val="both"/>
        <w:rPr>
          <w:sz w:val="22"/>
        </w:rPr>
        <w:sectPr>
          <w:pgSz w:w="12240" w:h="15840"/>
          <w:pgMar w:header="0" w:footer="790" w:top="1500" w:bottom="980" w:left="1720" w:right="1200"/>
        </w:sectPr>
      </w:pPr>
    </w:p>
    <w:p>
      <w:pPr>
        <w:pStyle w:val="BodyText"/>
        <w:spacing w:line="491" w:lineRule="auto" w:before="105"/>
        <w:ind w:left="400" w:right="2195"/>
        <w:jc w:val="both"/>
      </w:pPr>
      <w:r>
        <w:rPr>
          <w:w w:val="105"/>
        </w:rPr>
        <w:t>d’acquisto concorrenti, da formularsi nell’ambito della relativa procedura competitiva.</w:t>
      </w:r>
      <w:r>
        <w:rPr>
          <w:spacing w:val="-5"/>
          <w:w w:val="105"/>
        </w:rPr>
        <w:t> </w:t>
      </w:r>
      <w:r>
        <w:rPr>
          <w:w w:val="105"/>
        </w:rPr>
        <w:t>E</w:t>
      </w:r>
      <w:r>
        <w:rPr>
          <w:spacing w:val="-5"/>
          <w:w w:val="105"/>
        </w:rPr>
        <w:t> </w:t>
      </w:r>
      <w:r>
        <w:rPr>
          <w:w w:val="105"/>
        </w:rPr>
        <w:t>ciò,</w:t>
      </w:r>
      <w:r>
        <w:rPr>
          <w:spacing w:val="-5"/>
          <w:w w:val="105"/>
        </w:rPr>
        <w:t> </w:t>
      </w:r>
      <w:r>
        <w:rPr>
          <w:w w:val="105"/>
        </w:rPr>
        <w:t>al</w:t>
      </w:r>
      <w:r>
        <w:rPr>
          <w:spacing w:val="-5"/>
          <w:w w:val="105"/>
        </w:rPr>
        <w:t> </w:t>
      </w:r>
      <w:r>
        <w:rPr>
          <w:w w:val="105"/>
        </w:rPr>
        <w:t>fine</w:t>
      </w:r>
      <w:r>
        <w:rPr>
          <w:spacing w:val="-7"/>
          <w:w w:val="105"/>
        </w:rPr>
        <w:t> </w:t>
      </w:r>
      <w:r>
        <w:rPr>
          <w:w w:val="105"/>
        </w:rPr>
        <w:t>di</w:t>
      </w:r>
      <w:r>
        <w:rPr>
          <w:spacing w:val="-5"/>
          <w:w w:val="105"/>
        </w:rPr>
        <w:t> </w:t>
      </w:r>
      <w:r>
        <w:rPr>
          <w:w w:val="105"/>
        </w:rPr>
        <w:t>perfezionare</w:t>
      </w:r>
      <w:r>
        <w:rPr>
          <w:spacing w:val="-5"/>
          <w:w w:val="105"/>
        </w:rPr>
        <w:t> </w:t>
      </w:r>
      <w:r>
        <w:rPr>
          <w:w w:val="105"/>
        </w:rPr>
        <w:t>la</w:t>
      </w:r>
      <w:r>
        <w:rPr>
          <w:spacing w:val="-5"/>
          <w:w w:val="105"/>
        </w:rPr>
        <w:t> </w:t>
      </w:r>
      <w:r>
        <w:rPr>
          <w:w w:val="105"/>
        </w:rPr>
        <w:t>cessione</w:t>
      </w:r>
      <w:r>
        <w:rPr>
          <w:spacing w:val="-6"/>
          <w:w w:val="105"/>
        </w:rPr>
        <w:t> </w:t>
      </w:r>
      <w:r>
        <w:rPr>
          <w:w w:val="105"/>
        </w:rPr>
        <w:t>del</w:t>
      </w:r>
      <w:r>
        <w:rPr>
          <w:spacing w:val="-5"/>
          <w:w w:val="105"/>
        </w:rPr>
        <w:t> </w:t>
      </w:r>
      <w:r>
        <w:rPr>
          <w:w w:val="105"/>
        </w:rPr>
        <w:t>Ramo</w:t>
      </w:r>
      <w:r>
        <w:rPr>
          <w:spacing w:val="-5"/>
          <w:w w:val="105"/>
        </w:rPr>
        <w:t> </w:t>
      </w:r>
      <w:r>
        <w:rPr>
          <w:w w:val="105"/>
        </w:rPr>
        <w:t>Biochemtex prima del Decreto di Omologazione, con allocazione in favore di Biochemtex della relativa quota parte di prezzo, da effettuarsi sulla base dei valori</w:t>
      </w:r>
      <w:r>
        <w:rPr>
          <w:spacing w:val="-17"/>
          <w:w w:val="105"/>
        </w:rPr>
        <w:t> </w:t>
      </w:r>
      <w:r>
        <w:rPr>
          <w:w w:val="105"/>
        </w:rPr>
        <w:t>di</w:t>
      </w:r>
      <w:r>
        <w:rPr>
          <w:spacing w:val="-17"/>
          <w:w w:val="105"/>
        </w:rPr>
        <w:t> </w:t>
      </w:r>
      <w:r>
        <w:rPr>
          <w:w w:val="105"/>
        </w:rPr>
        <w:t>Piano,</w:t>
      </w:r>
      <w:r>
        <w:rPr>
          <w:spacing w:val="-17"/>
          <w:w w:val="105"/>
        </w:rPr>
        <w:t> </w:t>
      </w:r>
      <w:r>
        <w:rPr>
          <w:w w:val="105"/>
        </w:rPr>
        <w:t>rivenienti</w:t>
      </w:r>
      <w:r>
        <w:rPr>
          <w:spacing w:val="-15"/>
          <w:w w:val="105"/>
        </w:rPr>
        <w:t> </w:t>
      </w:r>
      <w:r>
        <w:rPr>
          <w:w w:val="105"/>
        </w:rPr>
        <w:t>dalla</w:t>
      </w:r>
      <w:r>
        <w:rPr>
          <w:spacing w:val="-17"/>
          <w:w w:val="105"/>
        </w:rPr>
        <w:t> </w:t>
      </w:r>
      <w:r>
        <w:rPr>
          <w:w w:val="105"/>
        </w:rPr>
        <w:t>Perizia</w:t>
      </w:r>
      <w:r>
        <w:rPr>
          <w:spacing w:val="-17"/>
          <w:w w:val="105"/>
        </w:rPr>
        <w:t> </w:t>
      </w:r>
      <w:r>
        <w:rPr>
          <w:w w:val="105"/>
        </w:rPr>
        <w:t>Bio;</w:t>
      </w:r>
    </w:p>
    <w:p>
      <w:pPr>
        <w:pStyle w:val="ListParagraph"/>
        <w:numPr>
          <w:ilvl w:val="2"/>
          <w:numId w:val="3"/>
        </w:numPr>
        <w:tabs>
          <w:tab w:pos="1057" w:val="left" w:leader="none"/>
        </w:tabs>
        <w:spacing w:line="491" w:lineRule="auto" w:before="1" w:after="0"/>
        <w:ind w:left="400" w:right="2195" w:firstLine="338"/>
        <w:jc w:val="left"/>
        <w:rPr>
          <w:sz w:val="22"/>
        </w:rPr>
      </w:pPr>
      <w:r>
        <w:rPr>
          <w:w w:val="105"/>
          <w:sz w:val="22"/>
        </w:rPr>
        <w:t>la Società, con le risorse così ricavate propone ai propri creditori, la soddisfazione</w:t>
      </w:r>
      <w:r>
        <w:rPr>
          <w:spacing w:val="-28"/>
          <w:w w:val="105"/>
          <w:sz w:val="22"/>
        </w:rPr>
        <w:t> </w:t>
      </w:r>
      <w:r>
        <w:rPr>
          <w:w w:val="105"/>
          <w:sz w:val="22"/>
        </w:rPr>
        <w:t>delle</w:t>
      </w:r>
      <w:r>
        <w:rPr>
          <w:spacing w:val="-28"/>
          <w:w w:val="105"/>
          <w:sz w:val="22"/>
        </w:rPr>
        <w:t> </w:t>
      </w:r>
      <w:r>
        <w:rPr>
          <w:w w:val="105"/>
          <w:sz w:val="22"/>
        </w:rPr>
        <w:t>loro</w:t>
      </w:r>
      <w:r>
        <w:rPr>
          <w:spacing w:val="-28"/>
          <w:w w:val="105"/>
          <w:sz w:val="22"/>
        </w:rPr>
        <w:t> </w:t>
      </w:r>
      <w:r>
        <w:rPr>
          <w:w w:val="105"/>
          <w:sz w:val="22"/>
        </w:rPr>
        <w:t>ragioni</w:t>
      </w:r>
      <w:r>
        <w:rPr>
          <w:spacing w:val="-27"/>
          <w:w w:val="105"/>
          <w:sz w:val="22"/>
        </w:rPr>
        <w:t> </w:t>
      </w:r>
      <w:r>
        <w:rPr>
          <w:w w:val="105"/>
          <w:sz w:val="22"/>
        </w:rPr>
        <w:t>creditorie</w:t>
      </w:r>
      <w:r>
        <w:rPr>
          <w:spacing w:val="-28"/>
          <w:w w:val="105"/>
          <w:sz w:val="22"/>
        </w:rPr>
        <w:t> </w:t>
      </w:r>
      <w:r>
        <w:rPr>
          <w:w w:val="105"/>
          <w:sz w:val="22"/>
        </w:rPr>
        <w:t>mediante:</w:t>
      </w:r>
    </w:p>
    <w:p>
      <w:pPr>
        <w:pStyle w:val="ListParagraph"/>
        <w:numPr>
          <w:ilvl w:val="3"/>
          <w:numId w:val="3"/>
        </w:numPr>
        <w:tabs>
          <w:tab w:pos="1067" w:val="left" w:leader="none"/>
          <w:tab w:pos="1068" w:val="left" w:leader="none"/>
        </w:tabs>
        <w:spacing w:line="240" w:lineRule="auto" w:before="1" w:after="0"/>
        <w:ind w:left="1078" w:right="0" w:hanging="410"/>
        <w:jc w:val="left"/>
        <w:rPr>
          <w:sz w:val="22"/>
        </w:rPr>
      </w:pPr>
      <w:r>
        <w:rPr>
          <w:w w:val="105"/>
          <w:sz w:val="22"/>
        </w:rPr>
        <w:t>il</w:t>
      </w:r>
      <w:r>
        <w:rPr>
          <w:spacing w:val="-21"/>
          <w:w w:val="105"/>
          <w:sz w:val="22"/>
        </w:rPr>
        <w:t> </w:t>
      </w:r>
      <w:r>
        <w:rPr>
          <w:w w:val="105"/>
          <w:sz w:val="22"/>
        </w:rPr>
        <w:t>pagamento</w:t>
      </w:r>
      <w:r>
        <w:rPr>
          <w:spacing w:val="-21"/>
          <w:w w:val="105"/>
          <w:sz w:val="22"/>
        </w:rPr>
        <w:t> </w:t>
      </w:r>
      <w:r>
        <w:rPr>
          <w:w w:val="105"/>
          <w:sz w:val="22"/>
        </w:rPr>
        <w:t>integrale</w:t>
      </w:r>
      <w:r>
        <w:rPr>
          <w:spacing w:val="-22"/>
          <w:w w:val="105"/>
          <w:sz w:val="22"/>
        </w:rPr>
        <w:t> </w:t>
      </w:r>
      <w:r>
        <w:rPr>
          <w:w w:val="105"/>
          <w:sz w:val="22"/>
        </w:rPr>
        <w:t>degli</w:t>
      </w:r>
      <w:r>
        <w:rPr>
          <w:spacing w:val="-22"/>
          <w:w w:val="105"/>
          <w:sz w:val="22"/>
        </w:rPr>
        <w:t> </w:t>
      </w:r>
      <w:r>
        <w:rPr>
          <w:w w:val="105"/>
          <w:sz w:val="22"/>
        </w:rPr>
        <w:t>oneri</w:t>
      </w:r>
      <w:r>
        <w:rPr>
          <w:spacing w:val="-22"/>
          <w:w w:val="105"/>
          <w:sz w:val="22"/>
        </w:rPr>
        <w:t> </w:t>
      </w:r>
      <w:r>
        <w:rPr>
          <w:w w:val="105"/>
          <w:sz w:val="22"/>
        </w:rPr>
        <w:t>di</w:t>
      </w:r>
      <w:r>
        <w:rPr>
          <w:spacing w:val="-21"/>
          <w:w w:val="105"/>
          <w:sz w:val="22"/>
        </w:rPr>
        <w:t> </w:t>
      </w:r>
      <w:r>
        <w:rPr>
          <w:w w:val="105"/>
          <w:sz w:val="22"/>
        </w:rPr>
        <w:t>ristrutturazione;</w:t>
      </w:r>
    </w:p>
    <w:p>
      <w:pPr>
        <w:pStyle w:val="BodyText"/>
        <w:rPr>
          <w:sz w:val="23"/>
        </w:rPr>
      </w:pPr>
    </w:p>
    <w:p>
      <w:pPr>
        <w:pStyle w:val="ListParagraph"/>
        <w:numPr>
          <w:ilvl w:val="3"/>
          <w:numId w:val="3"/>
        </w:numPr>
        <w:tabs>
          <w:tab w:pos="1079" w:val="left" w:leader="none"/>
        </w:tabs>
        <w:spacing w:line="491" w:lineRule="auto" w:before="0" w:after="0"/>
        <w:ind w:left="1078" w:right="2194" w:hanging="410"/>
        <w:jc w:val="both"/>
        <w:rPr>
          <w:sz w:val="22"/>
        </w:rPr>
      </w:pPr>
      <w:r>
        <w:rPr>
          <w:w w:val="105"/>
          <w:sz w:val="22"/>
        </w:rPr>
        <w:t>il</w:t>
      </w:r>
      <w:r>
        <w:rPr>
          <w:spacing w:val="-9"/>
          <w:w w:val="105"/>
          <w:sz w:val="22"/>
        </w:rPr>
        <w:t> </w:t>
      </w:r>
      <w:r>
        <w:rPr>
          <w:w w:val="105"/>
          <w:sz w:val="22"/>
        </w:rPr>
        <w:t>pagamento</w:t>
      </w:r>
      <w:r>
        <w:rPr>
          <w:spacing w:val="-8"/>
          <w:w w:val="105"/>
          <w:sz w:val="22"/>
        </w:rPr>
        <w:t> </w:t>
      </w:r>
      <w:r>
        <w:rPr>
          <w:w w:val="105"/>
          <w:sz w:val="22"/>
        </w:rPr>
        <w:t>integrale,</w:t>
      </w:r>
      <w:r>
        <w:rPr>
          <w:spacing w:val="-10"/>
          <w:w w:val="105"/>
          <w:sz w:val="22"/>
        </w:rPr>
        <w:t> </w:t>
      </w:r>
      <w:r>
        <w:rPr>
          <w:w w:val="105"/>
          <w:sz w:val="22"/>
        </w:rPr>
        <w:t>in</w:t>
      </w:r>
      <w:r>
        <w:rPr>
          <w:spacing w:val="-8"/>
          <w:w w:val="105"/>
          <w:sz w:val="22"/>
        </w:rPr>
        <w:t> </w:t>
      </w:r>
      <w:r>
        <w:rPr>
          <w:w w:val="105"/>
          <w:sz w:val="22"/>
        </w:rPr>
        <w:t>base</w:t>
      </w:r>
      <w:r>
        <w:rPr>
          <w:spacing w:val="-8"/>
          <w:w w:val="105"/>
          <w:sz w:val="22"/>
        </w:rPr>
        <w:t> </w:t>
      </w:r>
      <w:r>
        <w:rPr>
          <w:w w:val="105"/>
          <w:sz w:val="22"/>
        </w:rPr>
        <w:t>alla</w:t>
      </w:r>
      <w:r>
        <w:rPr>
          <w:spacing w:val="-10"/>
          <w:w w:val="105"/>
          <w:sz w:val="22"/>
        </w:rPr>
        <w:t> </w:t>
      </w:r>
      <w:r>
        <w:rPr>
          <w:w w:val="105"/>
          <w:sz w:val="22"/>
        </w:rPr>
        <w:t>scadenza</w:t>
      </w:r>
      <w:r>
        <w:rPr>
          <w:spacing w:val="-9"/>
          <w:w w:val="105"/>
          <w:sz w:val="22"/>
        </w:rPr>
        <w:t> </w:t>
      </w:r>
      <w:r>
        <w:rPr>
          <w:w w:val="105"/>
          <w:sz w:val="22"/>
        </w:rPr>
        <w:t>naturale</w:t>
      </w:r>
      <w:r>
        <w:rPr>
          <w:spacing w:val="-8"/>
          <w:w w:val="105"/>
          <w:sz w:val="22"/>
        </w:rPr>
        <w:t> </w:t>
      </w:r>
      <w:r>
        <w:rPr>
          <w:w w:val="105"/>
          <w:sz w:val="22"/>
        </w:rPr>
        <w:t>degli</w:t>
      </w:r>
      <w:r>
        <w:rPr>
          <w:spacing w:val="-9"/>
          <w:w w:val="105"/>
          <w:sz w:val="22"/>
        </w:rPr>
        <w:t> </w:t>
      </w:r>
      <w:r>
        <w:rPr>
          <w:w w:val="105"/>
          <w:sz w:val="22"/>
        </w:rPr>
        <w:t>stessi</w:t>
      </w:r>
      <w:r>
        <w:rPr>
          <w:spacing w:val="-9"/>
          <w:w w:val="105"/>
          <w:sz w:val="22"/>
        </w:rPr>
        <w:t> </w:t>
      </w:r>
      <w:r>
        <w:rPr>
          <w:w w:val="105"/>
          <w:sz w:val="22"/>
        </w:rPr>
        <w:t>(cfr. piano di cassa marzo 2018 – luglio 2018), dei debiti previsti per il mantenimento del Ramo Biochemtex fino alla cessione del medesimo a Versalis o altro soggetto che ne risulterà aggiudicatario all’esito</w:t>
      </w:r>
      <w:r>
        <w:rPr>
          <w:spacing w:val="-17"/>
          <w:w w:val="105"/>
          <w:sz w:val="22"/>
        </w:rPr>
        <w:t> </w:t>
      </w:r>
      <w:r>
        <w:rPr>
          <w:w w:val="105"/>
          <w:sz w:val="22"/>
        </w:rPr>
        <w:t>dell’asta</w:t>
      </w:r>
      <w:r>
        <w:rPr>
          <w:spacing w:val="-18"/>
          <w:w w:val="105"/>
          <w:sz w:val="22"/>
        </w:rPr>
        <w:t> </w:t>
      </w:r>
      <w:r>
        <w:rPr>
          <w:w w:val="105"/>
          <w:sz w:val="22"/>
        </w:rPr>
        <w:t>competitiva</w:t>
      </w:r>
      <w:r>
        <w:rPr>
          <w:spacing w:val="-17"/>
          <w:w w:val="105"/>
          <w:sz w:val="22"/>
        </w:rPr>
        <w:t> </w:t>
      </w:r>
      <w:r>
        <w:rPr>
          <w:w w:val="105"/>
          <w:sz w:val="22"/>
        </w:rPr>
        <w:t>ex</w:t>
      </w:r>
      <w:r>
        <w:rPr>
          <w:spacing w:val="-19"/>
          <w:w w:val="105"/>
          <w:sz w:val="22"/>
        </w:rPr>
        <w:t> </w:t>
      </w:r>
      <w:r>
        <w:rPr>
          <w:w w:val="105"/>
          <w:sz w:val="22"/>
        </w:rPr>
        <w:t>art.</w:t>
      </w:r>
      <w:r>
        <w:rPr>
          <w:spacing w:val="-17"/>
          <w:w w:val="105"/>
          <w:sz w:val="22"/>
        </w:rPr>
        <w:t> </w:t>
      </w:r>
      <w:r>
        <w:rPr>
          <w:w w:val="105"/>
          <w:sz w:val="22"/>
        </w:rPr>
        <w:t>163-bis</w:t>
      </w:r>
      <w:r>
        <w:rPr>
          <w:spacing w:val="-18"/>
          <w:w w:val="105"/>
          <w:sz w:val="22"/>
        </w:rPr>
        <w:t> </w:t>
      </w:r>
      <w:r>
        <w:rPr>
          <w:w w:val="105"/>
          <w:sz w:val="22"/>
        </w:rPr>
        <w:t>l.</w:t>
      </w:r>
      <w:r>
        <w:rPr>
          <w:spacing w:val="-17"/>
          <w:w w:val="105"/>
          <w:sz w:val="22"/>
        </w:rPr>
        <w:t> </w:t>
      </w:r>
      <w:r>
        <w:rPr>
          <w:w w:val="105"/>
          <w:sz w:val="22"/>
        </w:rPr>
        <w:t>fall.;</w:t>
      </w:r>
    </w:p>
    <w:p>
      <w:pPr>
        <w:pStyle w:val="ListParagraph"/>
        <w:numPr>
          <w:ilvl w:val="3"/>
          <w:numId w:val="3"/>
        </w:numPr>
        <w:tabs>
          <w:tab w:pos="1068" w:val="left" w:leader="none"/>
        </w:tabs>
        <w:spacing w:line="491" w:lineRule="auto" w:before="0" w:after="0"/>
        <w:ind w:left="1067" w:right="2197" w:hanging="399"/>
        <w:jc w:val="both"/>
        <w:rPr>
          <w:sz w:val="22"/>
        </w:rPr>
      </w:pPr>
      <w:r>
        <w:rPr>
          <w:w w:val="105"/>
          <w:sz w:val="22"/>
        </w:rPr>
        <w:t>il pagamento integrale dei crediti di lavoro e dei relativi interessi, in parte mediante previsione di accollo da parte dell’aggiudicatario del Ramo Biochemtex e, in altra parte, direttamente, </w:t>
      </w:r>
      <w:r>
        <w:rPr>
          <w:w w:val="105"/>
          <w:sz w:val="22"/>
          <w:u w:val="single"/>
        </w:rPr>
        <w:t>entro 3 (tre) mesi </w:t>
      </w:r>
      <w:r>
        <w:rPr>
          <w:w w:val="105"/>
          <w:sz w:val="22"/>
        </w:rPr>
        <w:t>dal Decreto di Omologazione, salva autorizzazione a riparti anticipati;</w:t>
      </w:r>
    </w:p>
    <w:p>
      <w:pPr>
        <w:pStyle w:val="ListParagraph"/>
        <w:numPr>
          <w:ilvl w:val="3"/>
          <w:numId w:val="3"/>
        </w:numPr>
        <w:tabs>
          <w:tab w:pos="1068" w:val="left" w:leader="none"/>
        </w:tabs>
        <w:spacing w:line="491" w:lineRule="auto" w:before="0" w:after="0"/>
        <w:ind w:left="1067" w:right="2196" w:hanging="399"/>
        <w:jc w:val="both"/>
        <w:rPr>
          <w:sz w:val="22"/>
        </w:rPr>
      </w:pPr>
      <w:r>
        <w:rPr>
          <w:w w:val="105"/>
          <w:sz w:val="22"/>
        </w:rPr>
        <w:t>il</w:t>
      </w:r>
      <w:r>
        <w:rPr>
          <w:spacing w:val="-13"/>
          <w:w w:val="105"/>
          <w:sz w:val="22"/>
        </w:rPr>
        <w:t> </w:t>
      </w:r>
      <w:r>
        <w:rPr>
          <w:w w:val="105"/>
          <w:sz w:val="22"/>
        </w:rPr>
        <w:t>pagamento</w:t>
      </w:r>
      <w:r>
        <w:rPr>
          <w:spacing w:val="-12"/>
          <w:w w:val="105"/>
          <w:sz w:val="22"/>
        </w:rPr>
        <w:t> </w:t>
      </w:r>
      <w:r>
        <w:rPr>
          <w:w w:val="105"/>
          <w:sz w:val="22"/>
        </w:rPr>
        <w:t>integrale</w:t>
      </w:r>
      <w:r>
        <w:rPr>
          <w:spacing w:val="-13"/>
          <w:w w:val="105"/>
          <w:sz w:val="22"/>
        </w:rPr>
        <w:t> </w:t>
      </w:r>
      <w:r>
        <w:rPr>
          <w:w w:val="105"/>
          <w:sz w:val="22"/>
        </w:rPr>
        <w:t>dei</w:t>
      </w:r>
      <w:r>
        <w:rPr>
          <w:spacing w:val="-13"/>
          <w:w w:val="105"/>
          <w:sz w:val="22"/>
        </w:rPr>
        <w:t> </w:t>
      </w:r>
      <w:r>
        <w:rPr>
          <w:w w:val="105"/>
          <w:sz w:val="22"/>
        </w:rPr>
        <w:t>crediti</w:t>
      </w:r>
      <w:r>
        <w:rPr>
          <w:spacing w:val="-14"/>
          <w:w w:val="105"/>
          <w:sz w:val="22"/>
        </w:rPr>
        <w:t> </w:t>
      </w:r>
      <w:r>
        <w:rPr>
          <w:w w:val="105"/>
          <w:sz w:val="22"/>
        </w:rPr>
        <w:t>privilegiati</w:t>
      </w:r>
      <w:r>
        <w:rPr>
          <w:spacing w:val="-13"/>
          <w:w w:val="105"/>
          <w:sz w:val="22"/>
        </w:rPr>
        <w:t> </w:t>
      </w:r>
      <w:r>
        <w:rPr>
          <w:w w:val="105"/>
          <w:sz w:val="22"/>
        </w:rPr>
        <w:t>generali,</w:t>
      </w:r>
      <w:r>
        <w:rPr>
          <w:spacing w:val="-13"/>
          <w:w w:val="105"/>
          <w:sz w:val="22"/>
        </w:rPr>
        <w:t> </w:t>
      </w:r>
      <w:r>
        <w:rPr>
          <w:w w:val="105"/>
          <w:sz w:val="22"/>
        </w:rPr>
        <w:t>diversi</w:t>
      </w:r>
      <w:r>
        <w:rPr>
          <w:spacing w:val="-13"/>
          <w:w w:val="105"/>
          <w:sz w:val="22"/>
        </w:rPr>
        <w:t> </w:t>
      </w:r>
      <w:r>
        <w:rPr>
          <w:w w:val="105"/>
          <w:sz w:val="22"/>
        </w:rPr>
        <w:t>da</w:t>
      </w:r>
      <w:r>
        <w:rPr>
          <w:spacing w:val="-14"/>
          <w:w w:val="105"/>
          <w:sz w:val="22"/>
        </w:rPr>
        <w:t> </w:t>
      </w:r>
      <w:r>
        <w:rPr>
          <w:w w:val="105"/>
          <w:sz w:val="22"/>
        </w:rPr>
        <w:t>quelli di cui al precedente punto c. ed anche di natura erariale e previdenziale,</w:t>
      </w:r>
      <w:r>
        <w:rPr>
          <w:spacing w:val="-11"/>
          <w:w w:val="105"/>
          <w:sz w:val="22"/>
        </w:rPr>
        <w:t> </w:t>
      </w:r>
      <w:r>
        <w:rPr>
          <w:w w:val="105"/>
          <w:sz w:val="22"/>
        </w:rPr>
        <w:t>e</w:t>
      </w:r>
      <w:r>
        <w:rPr>
          <w:spacing w:val="-11"/>
          <w:w w:val="105"/>
          <w:sz w:val="22"/>
        </w:rPr>
        <w:t> </w:t>
      </w:r>
      <w:r>
        <w:rPr>
          <w:w w:val="105"/>
          <w:sz w:val="22"/>
        </w:rPr>
        <w:t>dei</w:t>
      </w:r>
      <w:r>
        <w:rPr>
          <w:spacing w:val="-12"/>
          <w:w w:val="105"/>
          <w:sz w:val="22"/>
        </w:rPr>
        <w:t> </w:t>
      </w:r>
      <w:r>
        <w:rPr>
          <w:w w:val="105"/>
          <w:sz w:val="22"/>
        </w:rPr>
        <w:t>relativi</w:t>
      </w:r>
      <w:r>
        <w:rPr>
          <w:spacing w:val="-11"/>
          <w:w w:val="105"/>
          <w:sz w:val="22"/>
        </w:rPr>
        <w:t> </w:t>
      </w:r>
      <w:r>
        <w:rPr>
          <w:w w:val="105"/>
          <w:sz w:val="22"/>
        </w:rPr>
        <w:t>interessi,</w:t>
      </w:r>
      <w:r>
        <w:rPr>
          <w:spacing w:val="-11"/>
          <w:w w:val="105"/>
          <w:sz w:val="22"/>
        </w:rPr>
        <w:t> </w:t>
      </w:r>
      <w:r>
        <w:rPr>
          <w:w w:val="105"/>
          <w:sz w:val="22"/>
          <w:u w:val="single"/>
        </w:rPr>
        <w:t>entro</w:t>
      </w:r>
      <w:r>
        <w:rPr>
          <w:spacing w:val="-13"/>
          <w:w w:val="105"/>
          <w:sz w:val="22"/>
          <w:u w:val="single"/>
        </w:rPr>
        <w:t> </w:t>
      </w:r>
      <w:r>
        <w:rPr>
          <w:w w:val="105"/>
          <w:sz w:val="22"/>
          <w:u w:val="single"/>
        </w:rPr>
        <w:t>3</w:t>
      </w:r>
      <w:r>
        <w:rPr>
          <w:spacing w:val="-11"/>
          <w:w w:val="105"/>
          <w:sz w:val="22"/>
          <w:u w:val="single"/>
        </w:rPr>
        <w:t> </w:t>
      </w:r>
      <w:r>
        <w:rPr>
          <w:w w:val="105"/>
          <w:sz w:val="22"/>
          <w:u w:val="single"/>
        </w:rPr>
        <w:t>(tre)</w:t>
      </w:r>
      <w:r>
        <w:rPr>
          <w:spacing w:val="-12"/>
          <w:w w:val="105"/>
          <w:sz w:val="22"/>
          <w:u w:val="single"/>
        </w:rPr>
        <w:t> </w:t>
      </w:r>
      <w:r>
        <w:rPr>
          <w:w w:val="105"/>
          <w:sz w:val="22"/>
          <w:u w:val="single"/>
        </w:rPr>
        <w:t>mesi</w:t>
      </w:r>
      <w:r>
        <w:rPr>
          <w:spacing w:val="-11"/>
          <w:w w:val="105"/>
          <w:sz w:val="22"/>
          <w:u w:val="single"/>
        </w:rPr>
        <w:t> </w:t>
      </w:r>
      <w:r>
        <w:rPr>
          <w:w w:val="105"/>
          <w:sz w:val="22"/>
        </w:rPr>
        <w:t>dal</w:t>
      </w:r>
      <w:r>
        <w:rPr>
          <w:spacing w:val="-11"/>
          <w:w w:val="105"/>
          <w:sz w:val="22"/>
        </w:rPr>
        <w:t> </w:t>
      </w:r>
      <w:r>
        <w:rPr>
          <w:w w:val="105"/>
          <w:sz w:val="22"/>
        </w:rPr>
        <w:t>Decreto</w:t>
      </w:r>
      <w:r>
        <w:rPr>
          <w:spacing w:val="-11"/>
          <w:w w:val="105"/>
          <w:sz w:val="22"/>
        </w:rPr>
        <w:t> </w:t>
      </w:r>
      <w:r>
        <w:rPr>
          <w:w w:val="105"/>
          <w:sz w:val="22"/>
        </w:rPr>
        <w:t>di</w:t>
      </w:r>
    </w:p>
    <w:p>
      <w:pPr>
        <w:pStyle w:val="BodyText"/>
        <w:ind w:left="1067"/>
      </w:pPr>
      <w:r>
        <w:rPr>
          <w:w w:val="105"/>
        </w:rPr>
        <w:t>Omologazione, salva autorizzazione a riparti anticipati;</w:t>
      </w:r>
    </w:p>
    <w:p>
      <w:pPr>
        <w:pStyle w:val="BodyText"/>
        <w:rPr>
          <w:sz w:val="23"/>
        </w:rPr>
      </w:pPr>
    </w:p>
    <w:p>
      <w:pPr>
        <w:pStyle w:val="ListParagraph"/>
        <w:numPr>
          <w:ilvl w:val="3"/>
          <w:numId w:val="3"/>
        </w:numPr>
        <w:tabs>
          <w:tab w:pos="1067" w:val="left" w:leader="none"/>
          <w:tab w:pos="1068" w:val="left" w:leader="none"/>
        </w:tabs>
        <w:spacing w:line="494" w:lineRule="auto" w:before="0" w:after="0"/>
        <w:ind w:left="1067" w:right="2196" w:hanging="399"/>
        <w:jc w:val="left"/>
        <w:rPr>
          <w:sz w:val="22"/>
        </w:rPr>
      </w:pPr>
      <w:r>
        <w:rPr>
          <w:w w:val="105"/>
          <w:sz w:val="22"/>
        </w:rPr>
        <w:t>la suddivisione degli altri creditori in 3 (tre) classi, di cui due con diritto di</w:t>
      </w:r>
      <w:r>
        <w:rPr>
          <w:spacing w:val="-33"/>
          <w:w w:val="105"/>
          <w:sz w:val="22"/>
        </w:rPr>
        <w:t> </w:t>
      </w:r>
      <w:r>
        <w:rPr>
          <w:w w:val="105"/>
          <w:sz w:val="22"/>
        </w:rPr>
        <w:t>voto:</w:t>
      </w:r>
    </w:p>
    <w:p>
      <w:pPr>
        <w:spacing w:after="0" w:line="494" w:lineRule="auto"/>
        <w:jc w:val="left"/>
        <w:rPr>
          <w:sz w:val="22"/>
        </w:rPr>
        <w:sectPr>
          <w:pgSz w:w="12240" w:h="15840"/>
          <w:pgMar w:header="0" w:footer="790" w:top="1500" w:bottom="980" w:left="1720" w:right="1200"/>
        </w:sectPr>
      </w:pPr>
    </w:p>
    <w:p>
      <w:pPr>
        <w:pStyle w:val="ListParagraph"/>
        <w:numPr>
          <w:ilvl w:val="4"/>
          <w:numId w:val="3"/>
        </w:numPr>
        <w:tabs>
          <w:tab w:pos="1467" w:val="left" w:leader="none"/>
          <w:tab w:pos="1468" w:val="left" w:leader="none"/>
        </w:tabs>
        <w:spacing w:line="240" w:lineRule="auto" w:before="105" w:after="0"/>
        <w:ind w:left="1467" w:right="0" w:hanging="400"/>
        <w:jc w:val="left"/>
        <w:rPr>
          <w:sz w:val="22"/>
        </w:rPr>
      </w:pPr>
      <w:r>
        <w:rPr>
          <w:b/>
          <w:w w:val="105"/>
          <w:sz w:val="22"/>
          <w:u w:val="single"/>
        </w:rPr>
        <w:t>Classe 1, con diritto di voto</w:t>
      </w:r>
      <w:r>
        <w:rPr>
          <w:w w:val="105"/>
          <w:sz w:val="22"/>
        </w:rPr>
        <w:t>, composta dai crediti</w:t>
      </w:r>
      <w:r>
        <w:rPr>
          <w:spacing w:val="-9"/>
          <w:w w:val="105"/>
          <w:sz w:val="22"/>
        </w:rPr>
        <w:t> </w:t>
      </w:r>
      <w:r>
        <w:rPr>
          <w:w w:val="105"/>
          <w:sz w:val="22"/>
        </w:rPr>
        <w:t>chirografari</w:t>
      </w:r>
    </w:p>
    <w:p>
      <w:pPr>
        <w:pStyle w:val="BodyText"/>
        <w:spacing w:before="11"/>
        <w:rPr>
          <w:sz w:val="13"/>
        </w:rPr>
      </w:pPr>
    </w:p>
    <w:p>
      <w:pPr>
        <w:pStyle w:val="BodyText"/>
        <w:spacing w:line="491" w:lineRule="auto" w:before="105"/>
        <w:ind w:left="1467" w:right="2195"/>
        <w:jc w:val="both"/>
      </w:pPr>
      <w:r>
        <w:rPr>
          <w:w w:val="105"/>
        </w:rPr>
        <w:t>diversi</w:t>
      </w:r>
      <w:r>
        <w:rPr>
          <w:spacing w:val="-9"/>
          <w:w w:val="105"/>
        </w:rPr>
        <w:t> </w:t>
      </w:r>
      <w:r>
        <w:rPr>
          <w:w w:val="105"/>
        </w:rPr>
        <w:t>da</w:t>
      </w:r>
      <w:r>
        <w:rPr>
          <w:spacing w:val="-9"/>
          <w:w w:val="105"/>
        </w:rPr>
        <w:t> </w:t>
      </w:r>
      <w:r>
        <w:rPr>
          <w:w w:val="105"/>
        </w:rPr>
        <w:t>quelli</w:t>
      </w:r>
      <w:r>
        <w:rPr>
          <w:spacing w:val="-9"/>
          <w:w w:val="105"/>
        </w:rPr>
        <w:t> </w:t>
      </w:r>
      <w:r>
        <w:rPr>
          <w:w w:val="105"/>
        </w:rPr>
        <w:t>di</w:t>
      </w:r>
      <w:r>
        <w:rPr>
          <w:spacing w:val="-7"/>
          <w:w w:val="105"/>
        </w:rPr>
        <w:t> </w:t>
      </w:r>
      <w:r>
        <w:rPr>
          <w:w w:val="105"/>
        </w:rPr>
        <w:t>cui</w:t>
      </w:r>
      <w:r>
        <w:rPr>
          <w:spacing w:val="-9"/>
          <w:w w:val="105"/>
        </w:rPr>
        <w:t> </w:t>
      </w:r>
      <w:r>
        <w:rPr>
          <w:w w:val="105"/>
        </w:rPr>
        <w:t>alla</w:t>
      </w:r>
      <w:r>
        <w:rPr>
          <w:spacing w:val="-9"/>
          <w:w w:val="105"/>
        </w:rPr>
        <w:t> </w:t>
      </w:r>
      <w:r>
        <w:rPr>
          <w:w w:val="105"/>
        </w:rPr>
        <w:t>classe</w:t>
      </w:r>
      <w:r>
        <w:rPr>
          <w:spacing w:val="-9"/>
          <w:w w:val="105"/>
        </w:rPr>
        <w:t> </w:t>
      </w:r>
      <w:r>
        <w:rPr>
          <w:w w:val="105"/>
        </w:rPr>
        <w:t>2</w:t>
      </w:r>
      <w:r>
        <w:rPr>
          <w:spacing w:val="-9"/>
          <w:w w:val="105"/>
        </w:rPr>
        <w:t> </w:t>
      </w:r>
      <w:r>
        <w:rPr>
          <w:w w:val="105"/>
        </w:rPr>
        <w:t>e</w:t>
      </w:r>
      <w:r>
        <w:rPr>
          <w:spacing w:val="-8"/>
          <w:w w:val="105"/>
        </w:rPr>
        <w:t> </w:t>
      </w:r>
      <w:r>
        <w:rPr>
          <w:w w:val="105"/>
        </w:rPr>
        <w:t>alla</w:t>
      </w:r>
      <w:r>
        <w:rPr>
          <w:spacing w:val="-9"/>
          <w:w w:val="105"/>
        </w:rPr>
        <w:t> </w:t>
      </w:r>
      <w:r>
        <w:rPr>
          <w:w w:val="105"/>
        </w:rPr>
        <w:t>classe</w:t>
      </w:r>
      <w:r>
        <w:rPr>
          <w:spacing w:val="-9"/>
          <w:w w:val="105"/>
        </w:rPr>
        <w:t> </w:t>
      </w:r>
      <w:r>
        <w:rPr>
          <w:w w:val="105"/>
        </w:rPr>
        <w:t>3,</w:t>
      </w:r>
      <w:r>
        <w:rPr>
          <w:spacing w:val="-9"/>
          <w:w w:val="105"/>
        </w:rPr>
        <w:t> </w:t>
      </w:r>
      <w:r>
        <w:rPr>
          <w:w w:val="105"/>
        </w:rPr>
        <w:t>con</w:t>
      </w:r>
      <w:r>
        <w:rPr>
          <w:spacing w:val="-9"/>
          <w:w w:val="105"/>
        </w:rPr>
        <w:t> </w:t>
      </w:r>
      <w:r>
        <w:rPr>
          <w:w w:val="105"/>
        </w:rPr>
        <w:t>pagamento in una percentuale assicurata e garantita pari al 20% del rispettivo credito, da corrispondersi nella misura del relativo 50% </w:t>
      </w:r>
      <w:r>
        <w:rPr>
          <w:w w:val="105"/>
          <w:u w:val="single"/>
        </w:rPr>
        <w:t>entro 3 (tre) mesi </w:t>
      </w:r>
      <w:r>
        <w:rPr>
          <w:w w:val="105"/>
        </w:rPr>
        <w:t>dal Decreto di Omologazione e, quanto all’ulteriore 25% </w:t>
      </w:r>
      <w:r>
        <w:rPr>
          <w:w w:val="105"/>
          <w:u w:val="single"/>
        </w:rPr>
        <w:t>entro 15 (quindici) mesi </w:t>
      </w:r>
      <w:r>
        <w:rPr>
          <w:w w:val="105"/>
        </w:rPr>
        <w:t>dalla Data di Omologazione e, infine, l’ulteriore 25% </w:t>
      </w:r>
      <w:r>
        <w:rPr>
          <w:w w:val="105"/>
          <w:u w:val="single"/>
        </w:rPr>
        <w:t>entro 35</w:t>
      </w:r>
      <w:r>
        <w:rPr>
          <w:spacing w:val="-8"/>
          <w:w w:val="105"/>
          <w:u w:val="single"/>
        </w:rPr>
        <w:t> </w:t>
      </w:r>
      <w:r>
        <w:rPr>
          <w:w w:val="105"/>
          <w:u w:val="single"/>
        </w:rPr>
        <w:t>(trentacinque)</w:t>
      </w:r>
    </w:p>
    <w:p>
      <w:pPr>
        <w:pStyle w:val="BodyText"/>
        <w:spacing w:line="491" w:lineRule="auto" w:before="1"/>
        <w:ind w:left="1467" w:right="2194"/>
      </w:pPr>
      <w:r>
        <w:rPr>
          <w:w w:val="105"/>
          <w:u w:val="single"/>
        </w:rPr>
        <w:t>mesi </w:t>
      </w:r>
      <w:r>
        <w:rPr>
          <w:w w:val="105"/>
        </w:rPr>
        <w:t>dalla Data di Omologazione, salva autorizzazione a riparti anticipati;</w:t>
      </w:r>
    </w:p>
    <w:p>
      <w:pPr>
        <w:pStyle w:val="ListParagraph"/>
        <w:numPr>
          <w:ilvl w:val="4"/>
          <w:numId w:val="3"/>
        </w:numPr>
        <w:tabs>
          <w:tab w:pos="1467" w:val="left" w:leader="none"/>
          <w:tab w:pos="1468" w:val="left" w:leader="none"/>
        </w:tabs>
        <w:spacing w:line="240" w:lineRule="auto" w:before="0" w:after="0"/>
        <w:ind w:left="1467" w:right="0" w:hanging="400"/>
        <w:jc w:val="left"/>
        <w:rPr>
          <w:sz w:val="22"/>
        </w:rPr>
      </w:pPr>
      <w:r>
        <w:rPr>
          <w:b/>
          <w:w w:val="105"/>
          <w:sz w:val="22"/>
          <w:u w:val="single"/>
        </w:rPr>
        <w:t>Classe   2,   con   diritto   di   voto</w:t>
      </w:r>
      <w:r>
        <w:rPr>
          <w:w w:val="105"/>
          <w:sz w:val="22"/>
        </w:rPr>
        <w:t>,   composta   dal</w:t>
      </w:r>
      <w:r>
        <w:rPr>
          <w:spacing w:val="15"/>
          <w:w w:val="105"/>
          <w:sz w:val="22"/>
        </w:rPr>
        <w:t> </w:t>
      </w:r>
      <w:r>
        <w:rPr>
          <w:w w:val="105"/>
          <w:sz w:val="22"/>
        </w:rPr>
        <w:t>creditore</w:t>
      </w:r>
    </w:p>
    <w:p>
      <w:pPr>
        <w:pStyle w:val="BodyText"/>
        <w:spacing w:before="9"/>
        <w:rPr>
          <w:sz w:val="13"/>
        </w:rPr>
      </w:pPr>
    </w:p>
    <w:p>
      <w:pPr>
        <w:pStyle w:val="BodyText"/>
        <w:spacing w:line="491" w:lineRule="auto" w:before="105"/>
        <w:ind w:left="1467" w:right="2196"/>
        <w:jc w:val="both"/>
      </w:pPr>
      <w:r>
        <w:rPr>
          <w:w w:val="105"/>
        </w:rPr>
        <w:t>postergato</w:t>
      </w:r>
      <w:r>
        <w:rPr>
          <w:spacing w:val="-19"/>
          <w:w w:val="105"/>
        </w:rPr>
        <w:t> </w:t>
      </w:r>
      <w:r>
        <w:rPr>
          <w:w w:val="105"/>
        </w:rPr>
        <w:t>volontariamente</w:t>
      </w:r>
      <w:r>
        <w:rPr>
          <w:spacing w:val="-19"/>
          <w:w w:val="105"/>
        </w:rPr>
        <w:t> </w:t>
      </w:r>
      <w:r>
        <w:rPr>
          <w:w w:val="105"/>
        </w:rPr>
        <w:t>Novozymes</w:t>
      </w:r>
      <w:r>
        <w:rPr>
          <w:spacing w:val="-19"/>
          <w:w w:val="105"/>
        </w:rPr>
        <w:t> </w:t>
      </w:r>
      <w:r>
        <w:rPr>
          <w:w w:val="105"/>
        </w:rPr>
        <w:t>A/S,</w:t>
      </w:r>
      <w:r>
        <w:rPr>
          <w:spacing w:val="-19"/>
          <w:w w:val="105"/>
        </w:rPr>
        <w:t> </w:t>
      </w:r>
      <w:r>
        <w:rPr>
          <w:w w:val="105"/>
        </w:rPr>
        <w:t>con</w:t>
      </w:r>
      <w:r>
        <w:rPr>
          <w:spacing w:val="-19"/>
          <w:w w:val="105"/>
        </w:rPr>
        <w:t> </w:t>
      </w:r>
      <w:r>
        <w:rPr>
          <w:w w:val="105"/>
        </w:rPr>
        <w:t>pagamento</w:t>
      </w:r>
      <w:r>
        <w:rPr>
          <w:spacing w:val="-18"/>
          <w:w w:val="105"/>
        </w:rPr>
        <w:t> </w:t>
      </w:r>
      <w:r>
        <w:rPr>
          <w:w w:val="105"/>
        </w:rPr>
        <w:t>in una percentuale minima, non assicurata, pari al 17,92 % del rispettivo credito, da corrispondersi, nei termini e modalità di cui all’impegno di postergazione ed entro il 31 dicembre 2024 (termine ultimo per il pagamento dell’eventuale Earn Out Versalis);</w:t>
      </w:r>
    </w:p>
    <w:p>
      <w:pPr>
        <w:pStyle w:val="ListParagraph"/>
        <w:numPr>
          <w:ilvl w:val="4"/>
          <w:numId w:val="3"/>
        </w:numPr>
        <w:tabs>
          <w:tab w:pos="1467" w:val="left" w:leader="none"/>
          <w:tab w:pos="1468" w:val="left" w:leader="none"/>
        </w:tabs>
        <w:spacing w:line="456" w:lineRule="auto" w:before="0" w:after="0"/>
        <w:ind w:left="1467" w:right="2198" w:hanging="400"/>
        <w:jc w:val="left"/>
        <w:rPr>
          <w:sz w:val="22"/>
        </w:rPr>
      </w:pPr>
      <w:r>
        <w:rPr>
          <w:b/>
          <w:sz w:val="22"/>
          <w:u w:val="single"/>
        </w:rPr>
        <w:t>Classe 3, senza diritto di voto </w:t>
      </w:r>
      <w:r>
        <w:rPr>
          <w:b/>
          <w:i/>
          <w:sz w:val="24"/>
          <w:u w:val="single"/>
        </w:rPr>
        <w:t>ex lege</w:t>
      </w:r>
      <w:r>
        <w:rPr>
          <w:sz w:val="22"/>
        </w:rPr>
        <w:t>, composta dai creditori finanziari </w:t>
      </w:r>
      <w:r>
        <w:rPr>
          <w:i/>
          <w:sz w:val="22"/>
        </w:rPr>
        <w:t>ab origine </w:t>
      </w:r>
      <w:r>
        <w:rPr>
          <w:sz w:val="22"/>
        </w:rPr>
        <w:t>(i.e. M&amp;G Finanziaria e </w:t>
      </w:r>
      <w:r>
        <w:rPr>
          <w:spacing w:val="33"/>
          <w:sz w:val="22"/>
        </w:rPr>
        <w:t> </w:t>
      </w:r>
      <w:r>
        <w:rPr>
          <w:sz w:val="22"/>
        </w:rPr>
        <w:t>M&amp;G);</w:t>
      </w:r>
    </w:p>
    <w:p>
      <w:pPr>
        <w:pStyle w:val="ListParagraph"/>
        <w:numPr>
          <w:ilvl w:val="2"/>
          <w:numId w:val="3"/>
        </w:numPr>
        <w:tabs>
          <w:tab w:pos="1073" w:val="left" w:leader="none"/>
        </w:tabs>
        <w:spacing w:line="491" w:lineRule="auto" w:before="38" w:after="0"/>
        <w:ind w:left="400" w:right="2196" w:firstLine="338"/>
        <w:jc w:val="both"/>
        <w:rPr>
          <w:sz w:val="22"/>
        </w:rPr>
      </w:pPr>
      <w:r>
        <w:rPr>
          <w:w w:val="105"/>
          <w:sz w:val="22"/>
        </w:rPr>
        <w:t>la Società precisa che, ferma la messa a disposizione dei creditori di tutto il proprio patrimonio e salva soddisfazione dei creditori della Classe 1 sino alla percentuale del 20% (anche in conseguenza della Postergazione Novozymes), la percentuale prevista in favore delle Classi 1 e 2 sarà eventualmente ed ulteriormente aumentabile, in ragione di quanto evidenziato nella presente memoria e sulla base del Piano, considerando,</w:t>
      </w:r>
      <w:r>
        <w:rPr>
          <w:spacing w:val="-18"/>
          <w:w w:val="105"/>
          <w:sz w:val="22"/>
        </w:rPr>
        <w:t> </w:t>
      </w:r>
      <w:r>
        <w:rPr>
          <w:w w:val="105"/>
          <w:sz w:val="22"/>
        </w:rPr>
        <w:t>in</w:t>
      </w:r>
    </w:p>
    <w:p>
      <w:pPr>
        <w:spacing w:after="0" w:line="491" w:lineRule="auto"/>
        <w:jc w:val="both"/>
        <w:rPr>
          <w:sz w:val="22"/>
        </w:rPr>
        <w:sectPr>
          <w:pgSz w:w="12240" w:h="15840"/>
          <w:pgMar w:header="0" w:footer="790" w:top="1500" w:bottom="980" w:left="1720" w:right="1200"/>
        </w:sectPr>
      </w:pPr>
    </w:p>
    <w:p>
      <w:pPr>
        <w:pStyle w:val="BodyText"/>
        <w:spacing w:line="491" w:lineRule="auto" w:before="105"/>
        <w:ind w:left="400" w:right="2195"/>
        <w:jc w:val="both"/>
      </w:pPr>
      <w:r>
        <w:rPr>
          <w:w w:val="105"/>
        </w:rPr>
        <w:t>particolare, i possibili miglioramenti di cui si dirà in prosieguo di</w:t>
      </w:r>
      <w:r>
        <w:rPr>
          <w:spacing w:val="-39"/>
          <w:w w:val="105"/>
        </w:rPr>
        <w:t> </w:t>
      </w:r>
      <w:r>
        <w:rPr>
          <w:w w:val="105"/>
        </w:rPr>
        <w:t>trattazione e</w:t>
      </w:r>
      <w:r>
        <w:rPr>
          <w:spacing w:val="-17"/>
          <w:w w:val="105"/>
        </w:rPr>
        <w:t> </w:t>
      </w:r>
      <w:r>
        <w:rPr>
          <w:w w:val="105"/>
        </w:rPr>
        <w:t>la</w:t>
      </w:r>
      <w:r>
        <w:rPr>
          <w:spacing w:val="-18"/>
          <w:w w:val="105"/>
        </w:rPr>
        <w:t> </w:t>
      </w:r>
      <w:r>
        <w:rPr>
          <w:w w:val="105"/>
        </w:rPr>
        <w:t>liberazione</w:t>
      </w:r>
      <w:r>
        <w:rPr>
          <w:spacing w:val="-17"/>
          <w:w w:val="105"/>
        </w:rPr>
        <w:t> </w:t>
      </w:r>
      <w:r>
        <w:rPr>
          <w:w w:val="105"/>
        </w:rPr>
        <w:t>dei</w:t>
      </w:r>
      <w:r>
        <w:rPr>
          <w:spacing w:val="-17"/>
          <w:w w:val="105"/>
        </w:rPr>
        <w:t> </w:t>
      </w:r>
      <w:r>
        <w:rPr>
          <w:w w:val="105"/>
        </w:rPr>
        <w:t>Fondi</w:t>
      </w:r>
      <w:r>
        <w:rPr>
          <w:spacing w:val="-17"/>
          <w:w w:val="105"/>
        </w:rPr>
        <w:t> </w:t>
      </w:r>
      <w:r>
        <w:rPr>
          <w:w w:val="105"/>
        </w:rPr>
        <w:t>stanziati</w:t>
      </w:r>
      <w:r>
        <w:rPr>
          <w:spacing w:val="-17"/>
          <w:w w:val="105"/>
        </w:rPr>
        <w:t> </w:t>
      </w:r>
      <w:r>
        <w:rPr>
          <w:w w:val="105"/>
        </w:rPr>
        <w:t>nel</w:t>
      </w:r>
      <w:r>
        <w:rPr>
          <w:spacing w:val="-17"/>
          <w:w w:val="105"/>
        </w:rPr>
        <w:t> </w:t>
      </w:r>
      <w:r>
        <w:rPr>
          <w:w w:val="105"/>
        </w:rPr>
        <w:t>Piano;</w:t>
      </w:r>
    </w:p>
    <w:p>
      <w:pPr>
        <w:pStyle w:val="ListParagraph"/>
        <w:numPr>
          <w:ilvl w:val="2"/>
          <w:numId w:val="3"/>
        </w:numPr>
        <w:tabs>
          <w:tab w:pos="1073" w:val="left" w:leader="none"/>
        </w:tabs>
        <w:spacing w:line="491" w:lineRule="auto" w:before="1" w:after="0"/>
        <w:ind w:left="400" w:right="2195" w:firstLine="338"/>
        <w:jc w:val="both"/>
        <w:rPr>
          <w:sz w:val="22"/>
        </w:rPr>
      </w:pPr>
      <w:r>
        <w:rPr>
          <w:w w:val="105"/>
          <w:sz w:val="22"/>
        </w:rPr>
        <w:t>in</w:t>
      </w:r>
      <w:r>
        <w:rPr>
          <w:spacing w:val="-11"/>
          <w:w w:val="105"/>
          <w:sz w:val="22"/>
        </w:rPr>
        <w:t> </w:t>
      </w:r>
      <w:r>
        <w:rPr>
          <w:w w:val="105"/>
          <w:sz w:val="22"/>
        </w:rPr>
        <w:t>ogni</w:t>
      </w:r>
      <w:r>
        <w:rPr>
          <w:spacing w:val="-11"/>
          <w:w w:val="105"/>
          <w:sz w:val="22"/>
        </w:rPr>
        <w:t> </w:t>
      </w:r>
      <w:r>
        <w:rPr>
          <w:w w:val="105"/>
          <w:sz w:val="22"/>
        </w:rPr>
        <w:t>caso,</w:t>
      </w:r>
      <w:r>
        <w:rPr>
          <w:spacing w:val="-12"/>
          <w:w w:val="105"/>
          <w:sz w:val="22"/>
        </w:rPr>
        <w:t> </w:t>
      </w:r>
      <w:r>
        <w:rPr>
          <w:w w:val="105"/>
          <w:sz w:val="22"/>
        </w:rPr>
        <w:t>la</w:t>
      </w:r>
      <w:r>
        <w:rPr>
          <w:spacing w:val="-11"/>
          <w:w w:val="105"/>
          <w:sz w:val="22"/>
        </w:rPr>
        <w:t> </w:t>
      </w:r>
      <w:r>
        <w:rPr>
          <w:w w:val="105"/>
          <w:sz w:val="22"/>
        </w:rPr>
        <w:t>concreta</w:t>
      </w:r>
      <w:r>
        <w:rPr>
          <w:spacing w:val="-13"/>
          <w:w w:val="105"/>
          <w:sz w:val="22"/>
        </w:rPr>
        <w:t> </w:t>
      </w:r>
      <w:r>
        <w:rPr>
          <w:w w:val="105"/>
          <w:sz w:val="22"/>
        </w:rPr>
        <w:t>e</w:t>
      </w:r>
      <w:r>
        <w:rPr>
          <w:spacing w:val="-12"/>
          <w:w w:val="105"/>
          <w:sz w:val="22"/>
        </w:rPr>
        <w:t> </w:t>
      </w:r>
      <w:r>
        <w:rPr>
          <w:w w:val="105"/>
          <w:sz w:val="22"/>
        </w:rPr>
        <w:t>ragionevole</w:t>
      </w:r>
      <w:r>
        <w:rPr>
          <w:spacing w:val="-12"/>
          <w:w w:val="105"/>
          <w:sz w:val="22"/>
        </w:rPr>
        <w:t> </w:t>
      </w:r>
      <w:r>
        <w:rPr>
          <w:w w:val="105"/>
          <w:sz w:val="22"/>
        </w:rPr>
        <w:t>prospettazione</w:t>
      </w:r>
      <w:r>
        <w:rPr>
          <w:spacing w:val="-12"/>
          <w:w w:val="105"/>
          <w:sz w:val="22"/>
        </w:rPr>
        <w:t> </w:t>
      </w:r>
      <w:r>
        <w:rPr>
          <w:w w:val="105"/>
          <w:sz w:val="22"/>
        </w:rPr>
        <w:t>del</w:t>
      </w:r>
      <w:r>
        <w:rPr>
          <w:spacing w:val="-12"/>
          <w:w w:val="105"/>
          <w:sz w:val="22"/>
        </w:rPr>
        <w:t> </w:t>
      </w:r>
      <w:r>
        <w:rPr>
          <w:w w:val="105"/>
          <w:sz w:val="22"/>
        </w:rPr>
        <w:t>pagamento di un’ulteriore percentuale è puramente eventuale, dovendosi considerare il pagamento del 20% come unico elemento vincolante ed assicurato della Proposta per quanto concerne la soddisfazione dei creditori chirografari della Classe</w:t>
      </w:r>
      <w:r>
        <w:rPr>
          <w:spacing w:val="-37"/>
          <w:w w:val="105"/>
          <w:sz w:val="22"/>
        </w:rPr>
        <w:t> </w:t>
      </w:r>
      <w:r>
        <w:rPr>
          <w:w w:val="105"/>
          <w:sz w:val="22"/>
        </w:rPr>
        <w:t>1;</w:t>
      </w:r>
    </w:p>
    <w:p>
      <w:pPr>
        <w:pStyle w:val="ListParagraph"/>
        <w:numPr>
          <w:ilvl w:val="2"/>
          <w:numId w:val="3"/>
        </w:numPr>
        <w:tabs>
          <w:tab w:pos="1073" w:val="left" w:leader="none"/>
        </w:tabs>
        <w:spacing w:line="491" w:lineRule="auto" w:before="1" w:after="0"/>
        <w:ind w:left="400" w:right="2194" w:firstLine="338"/>
        <w:jc w:val="both"/>
        <w:rPr>
          <w:sz w:val="22"/>
        </w:rPr>
      </w:pPr>
      <w:r>
        <w:rPr>
          <w:w w:val="105"/>
          <w:sz w:val="22"/>
        </w:rPr>
        <w:t>ai</w:t>
      </w:r>
      <w:r>
        <w:rPr>
          <w:spacing w:val="-7"/>
          <w:w w:val="105"/>
          <w:sz w:val="22"/>
        </w:rPr>
        <w:t> </w:t>
      </w:r>
      <w:r>
        <w:rPr>
          <w:w w:val="105"/>
          <w:sz w:val="22"/>
        </w:rPr>
        <w:t>sensi</w:t>
      </w:r>
      <w:r>
        <w:rPr>
          <w:spacing w:val="-7"/>
          <w:w w:val="105"/>
          <w:sz w:val="22"/>
        </w:rPr>
        <w:t> </w:t>
      </w:r>
      <w:r>
        <w:rPr>
          <w:w w:val="105"/>
          <w:sz w:val="22"/>
        </w:rPr>
        <w:t>dell’art.</w:t>
      </w:r>
      <w:r>
        <w:rPr>
          <w:spacing w:val="-7"/>
          <w:w w:val="105"/>
          <w:sz w:val="22"/>
        </w:rPr>
        <w:t> </w:t>
      </w:r>
      <w:r>
        <w:rPr>
          <w:w w:val="105"/>
          <w:sz w:val="22"/>
        </w:rPr>
        <w:t>161,</w:t>
      </w:r>
      <w:r>
        <w:rPr>
          <w:spacing w:val="-8"/>
          <w:w w:val="105"/>
          <w:sz w:val="22"/>
        </w:rPr>
        <w:t> </w:t>
      </w:r>
      <w:r>
        <w:rPr>
          <w:w w:val="105"/>
          <w:sz w:val="22"/>
        </w:rPr>
        <w:t>comma</w:t>
      </w:r>
      <w:r>
        <w:rPr>
          <w:spacing w:val="-7"/>
          <w:w w:val="105"/>
          <w:sz w:val="22"/>
        </w:rPr>
        <w:t> </w:t>
      </w:r>
      <w:r>
        <w:rPr>
          <w:w w:val="105"/>
          <w:sz w:val="22"/>
        </w:rPr>
        <w:t>3,</w:t>
      </w:r>
      <w:r>
        <w:rPr>
          <w:spacing w:val="-7"/>
          <w:w w:val="105"/>
          <w:sz w:val="22"/>
        </w:rPr>
        <w:t> </w:t>
      </w:r>
      <w:r>
        <w:rPr>
          <w:w w:val="105"/>
          <w:sz w:val="22"/>
        </w:rPr>
        <w:t>legge</w:t>
      </w:r>
      <w:r>
        <w:rPr>
          <w:spacing w:val="-7"/>
          <w:w w:val="105"/>
          <w:sz w:val="22"/>
        </w:rPr>
        <w:t> </w:t>
      </w:r>
      <w:r>
        <w:rPr>
          <w:w w:val="105"/>
          <w:sz w:val="22"/>
        </w:rPr>
        <w:t>fall.,</w:t>
      </w:r>
      <w:r>
        <w:rPr>
          <w:spacing w:val="-7"/>
          <w:w w:val="105"/>
          <w:sz w:val="22"/>
        </w:rPr>
        <w:t> </w:t>
      </w:r>
      <w:r>
        <w:rPr>
          <w:w w:val="105"/>
          <w:sz w:val="22"/>
        </w:rPr>
        <w:t>il</w:t>
      </w:r>
      <w:r>
        <w:rPr>
          <w:spacing w:val="-7"/>
          <w:w w:val="105"/>
          <w:sz w:val="22"/>
        </w:rPr>
        <w:t> </w:t>
      </w:r>
      <w:r>
        <w:rPr>
          <w:w w:val="105"/>
          <w:sz w:val="22"/>
        </w:rPr>
        <w:t>Piano</w:t>
      </w:r>
      <w:r>
        <w:rPr>
          <w:spacing w:val="-7"/>
          <w:w w:val="105"/>
          <w:sz w:val="22"/>
        </w:rPr>
        <w:t> </w:t>
      </w:r>
      <w:r>
        <w:rPr>
          <w:w w:val="105"/>
          <w:sz w:val="22"/>
        </w:rPr>
        <w:t>e</w:t>
      </w:r>
      <w:r>
        <w:rPr>
          <w:spacing w:val="-7"/>
          <w:w w:val="105"/>
          <w:sz w:val="22"/>
        </w:rPr>
        <w:t> </w:t>
      </w:r>
      <w:r>
        <w:rPr>
          <w:w w:val="105"/>
          <w:sz w:val="22"/>
        </w:rPr>
        <w:t>la</w:t>
      </w:r>
      <w:r>
        <w:rPr>
          <w:spacing w:val="-7"/>
          <w:w w:val="105"/>
          <w:sz w:val="22"/>
        </w:rPr>
        <w:t> </w:t>
      </w:r>
      <w:r>
        <w:rPr>
          <w:w w:val="105"/>
          <w:sz w:val="22"/>
        </w:rPr>
        <w:t>Proposta</w:t>
      </w:r>
      <w:r>
        <w:rPr>
          <w:spacing w:val="-9"/>
          <w:w w:val="105"/>
          <w:sz w:val="22"/>
        </w:rPr>
        <w:t> </w:t>
      </w:r>
      <w:r>
        <w:rPr>
          <w:w w:val="105"/>
          <w:sz w:val="22"/>
        </w:rPr>
        <w:t>sono accompagnati dalla relazione dei professionisti di cui all'art. 161 legge fall., dott.</w:t>
      </w:r>
      <w:r>
        <w:rPr>
          <w:spacing w:val="-5"/>
          <w:w w:val="105"/>
          <w:sz w:val="22"/>
        </w:rPr>
        <w:t> </w:t>
      </w:r>
      <w:r>
        <w:rPr>
          <w:w w:val="105"/>
          <w:sz w:val="22"/>
        </w:rPr>
        <w:t>Alessandro</w:t>
      </w:r>
      <w:r>
        <w:rPr>
          <w:spacing w:val="-6"/>
          <w:w w:val="105"/>
          <w:sz w:val="22"/>
        </w:rPr>
        <w:t> </w:t>
      </w:r>
      <w:r>
        <w:rPr>
          <w:w w:val="105"/>
          <w:sz w:val="22"/>
        </w:rPr>
        <w:t>Solidoro</w:t>
      </w:r>
      <w:r>
        <w:rPr>
          <w:spacing w:val="-6"/>
          <w:w w:val="105"/>
          <w:sz w:val="22"/>
        </w:rPr>
        <w:t> </w:t>
      </w:r>
      <w:r>
        <w:rPr>
          <w:w w:val="105"/>
          <w:sz w:val="22"/>
        </w:rPr>
        <w:t>e</w:t>
      </w:r>
      <w:r>
        <w:rPr>
          <w:spacing w:val="-6"/>
          <w:w w:val="105"/>
          <w:sz w:val="22"/>
        </w:rPr>
        <w:t> </w:t>
      </w:r>
      <w:r>
        <w:rPr>
          <w:w w:val="105"/>
          <w:sz w:val="22"/>
        </w:rPr>
        <w:t>dott.</w:t>
      </w:r>
      <w:r>
        <w:rPr>
          <w:spacing w:val="-5"/>
          <w:w w:val="105"/>
          <w:sz w:val="22"/>
        </w:rPr>
        <w:t> </w:t>
      </w:r>
      <w:r>
        <w:rPr>
          <w:w w:val="105"/>
          <w:sz w:val="22"/>
        </w:rPr>
        <w:t>Carlo</w:t>
      </w:r>
      <w:r>
        <w:rPr>
          <w:spacing w:val="-6"/>
          <w:w w:val="105"/>
          <w:sz w:val="22"/>
        </w:rPr>
        <w:t> </w:t>
      </w:r>
      <w:r>
        <w:rPr>
          <w:w w:val="105"/>
          <w:sz w:val="22"/>
        </w:rPr>
        <w:t>Pagliughi</w:t>
      </w:r>
      <w:r>
        <w:rPr>
          <w:spacing w:val="-7"/>
          <w:w w:val="105"/>
          <w:sz w:val="22"/>
        </w:rPr>
        <w:t> </w:t>
      </w:r>
      <w:r>
        <w:rPr>
          <w:w w:val="105"/>
          <w:sz w:val="22"/>
        </w:rPr>
        <w:t>(professionisti</w:t>
      </w:r>
      <w:r>
        <w:rPr>
          <w:spacing w:val="-5"/>
          <w:w w:val="105"/>
          <w:sz w:val="22"/>
        </w:rPr>
        <w:t> </w:t>
      </w:r>
      <w:r>
        <w:rPr>
          <w:w w:val="105"/>
          <w:sz w:val="22"/>
        </w:rPr>
        <w:t>in</w:t>
      </w:r>
      <w:r>
        <w:rPr>
          <w:spacing w:val="-6"/>
          <w:w w:val="105"/>
          <w:sz w:val="22"/>
        </w:rPr>
        <w:t> </w:t>
      </w:r>
      <w:r>
        <w:rPr>
          <w:w w:val="105"/>
          <w:sz w:val="22"/>
        </w:rPr>
        <w:t>possesso dei</w:t>
      </w:r>
      <w:r>
        <w:rPr>
          <w:spacing w:val="34"/>
          <w:w w:val="105"/>
          <w:sz w:val="22"/>
        </w:rPr>
        <w:t> </w:t>
      </w:r>
      <w:r>
        <w:rPr>
          <w:w w:val="105"/>
          <w:sz w:val="22"/>
        </w:rPr>
        <w:t>requisiti</w:t>
      </w:r>
      <w:r>
        <w:rPr>
          <w:spacing w:val="-12"/>
          <w:w w:val="105"/>
          <w:sz w:val="22"/>
        </w:rPr>
        <w:t> </w:t>
      </w:r>
      <w:r>
        <w:rPr>
          <w:w w:val="105"/>
          <w:sz w:val="22"/>
        </w:rPr>
        <w:t>previsti</w:t>
      </w:r>
      <w:r>
        <w:rPr>
          <w:spacing w:val="-13"/>
          <w:w w:val="105"/>
          <w:sz w:val="22"/>
        </w:rPr>
        <w:t> </w:t>
      </w:r>
      <w:r>
        <w:rPr>
          <w:w w:val="105"/>
          <w:sz w:val="22"/>
        </w:rPr>
        <w:t>dall'art.</w:t>
      </w:r>
      <w:r>
        <w:rPr>
          <w:spacing w:val="-12"/>
          <w:w w:val="105"/>
          <w:sz w:val="22"/>
        </w:rPr>
        <w:t> </w:t>
      </w:r>
      <w:r>
        <w:rPr>
          <w:w w:val="105"/>
          <w:sz w:val="22"/>
        </w:rPr>
        <w:t>67,</w:t>
      </w:r>
      <w:r>
        <w:rPr>
          <w:spacing w:val="-14"/>
          <w:w w:val="105"/>
          <w:sz w:val="22"/>
        </w:rPr>
        <w:t> </w:t>
      </w:r>
      <w:r>
        <w:rPr>
          <w:w w:val="105"/>
          <w:sz w:val="22"/>
        </w:rPr>
        <w:t>terzo</w:t>
      </w:r>
      <w:r>
        <w:rPr>
          <w:spacing w:val="-13"/>
          <w:w w:val="105"/>
          <w:sz w:val="22"/>
        </w:rPr>
        <w:t> </w:t>
      </w:r>
      <w:r>
        <w:rPr>
          <w:w w:val="105"/>
          <w:sz w:val="22"/>
        </w:rPr>
        <w:t>comma,</w:t>
      </w:r>
      <w:r>
        <w:rPr>
          <w:spacing w:val="-12"/>
          <w:w w:val="105"/>
          <w:sz w:val="22"/>
        </w:rPr>
        <w:t> </w:t>
      </w:r>
      <w:r>
        <w:rPr>
          <w:w w:val="105"/>
          <w:sz w:val="22"/>
        </w:rPr>
        <w:t>lettera</w:t>
      </w:r>
      <w:r>
        <w:rPr>
          <w:spacing w:val="-12"/>
          <w:w w:val="105"/>
          <w:sz w:val="22"/>
        </w:rPr>
        <w:t> </w:t>
      </w:r>
      <w:r>
        <w:rPr>
          <w:w w:val="105"/>
          <w:sz w:val="22"/>
        </w:rPr>
        <w:t>d)</w:t>
      </w:r>
      <w:r>
        <w:rPr>
          <w:spacing w:val="-12"/>
          <w:w w:val="105"/>
          <w:sz w:val="22"/>
        </w:rPr>
        <w:t> </w:t>
      </w:r>
      <w:r>
        <w:rPr>
          <w:w w:val="105"/>
          <w:sz w:val="22"/>
        </w:rPr>
        <w:t>legge</w:t>
      </w:r>
      <w:r>
        <w:rPr>
          <w:spacing w:val="-12"/>
          <w:w w:val="105"/>
          <w:sz w:val="22"/>
        </w:rPr>
        <w:t> </w:t>
      </w:r>
      <w:r>
        <w:rPr>
          <w:w w:val="105"/>
          <w:sz w:val="22"/>
        </w:rPr>
        <w:t>fall.),</w:t>
      </w:r>
      <w:r>
        <w:rPr>
          <w:spacing w:val="-13"/>
          <w:w w:val="105"/>
          <w:sz w:val="22"/>
        </w:rPr>
        <w:t> </w:t>
      </w:r>
      <w:r>
        <w:rPr>
          <w:w w:val="105"/>
          <w:sz w:val="22"/>
        </w:rPr>
        <w:t>entrambi con studio in Milano, rispettivamente in via Borgogna n. 3 e in P.za della Repubblica n. 30, attestante la veridicità dei dati aziendali, la fattibilità della Proposta e, in particolare, ai sensi dell'art. 160, quarto comma, legge fall., l’assicurazione del pagamento monetario dei creditori chirografari almeno nella</w:t>
      </w:r>
      <w:r>
        <w:rPr>
          <w:spacing w:val="-17"/>
          <w:w w:val="105"/>
          <w:sz w:val="22"/>
        </w:rPr>
        <w:t> </w:t>
      </w:r>
      <w:r>
        <w:rPr>
          <w:w w:val="105"/>
          <w:sz w:val="22"/>
        </w:rPr>
        <w:t>misura</w:t>
      </w:r>
      <w:r>
        <w:rPr>
          <w:spacing w:val="-17"/>
          <w:w w:val="105"/>
          <w:sz w:val="22"/>
        </w:rPr>
        <w:t> </w:t>
      </w:r>
      <w:r>
        <w:rPr>
          <w:w w:val="105"/>
          <w:sz w:val="22"/>
        </w:rPr>
        <w:t>del</w:t>
      </w:r>
      <w:r>
        <w:rPr>
          <w:spacing w:val="-17"/>
          <w:w w:val="105"/>
          <w:sz w:val="22"/>
        </w:rPr>
        <w:t> </w:t>
      </w:r>
      <w:r>
        <w:rPr>
          <w:w w:val="105"/>
          <w:sz w:val="22"/>
        </w:rPr>
        <w:t>20%</w:t>
      </w:r>
      <w:r>
        <w:rPr>
          <w:spacing w:val="-17"/>
          <w:w w:val="105"/>
          <w:sz w:val="22"/>
        </w:rPr>
        <w:t> </w:t>
      </w:r>
      <w:r>
        <w:rPr>
          <w:w w:val="105"/>
          <w:sz w:val="22"/>
        </w:rPr>
        <w:t>del</w:t>
      </w:r>
      <w:r>
        <w:rPr>
          <w:spacing w:val="-17"/>
          <w:w w:val="105"/>
          <w:sz w:val="22"/>
        </w:rPr>
        <w:t> </w:t>
      </w:r>
      <w:r>
        <w:rPr>
          <w:w w:val="105"/>
          <w:sz w:val="22"/>
        </w:rPr>
        <w:t>credito</w:t>
      </w:r>
      <w:r>
        <w:rPr>
          <w:spacing w:val="-18"/>
          <w:w w:val="105"/>
          <w:sz w:val="22"/>
        </w:rPr>
        <w:t> </w:t>
      </w:r>
      <w:r>
        <w:rPr>
          <w:w w:val="105"/>
          <w:sz w:val="22"/>
        </w:rPr>
        <w:t>originario</w:t>
      </w:r>
      <w:r>
        <w:rPr>
          <w:spacing w:val="-17"/>
          <w:w w:val="105"/>
          <w:sz w:val="22"/>
        </w:rPr>
        <w:t> </w:t>
      </w:r>
      <w:r>
        <w:rPr>
          <w:w w:val="105"/>
          <w:sz w:val="22"/>
        </w:rPr>
        <w:t>(</w:t>
      </w:r>
      <w:r>
        <w:rPr>
          <w:b/>
          <w:w w:val="105"/>
          <w:sz w:val="22"/>
        </w:rPr>
        <w:t>doc.</w:t>
      </w:r>
      <w:r>
        <w:rPr>
          <w:b/>
          <w:spacing w:val="-17"/>
          <w:w w:val="105"/>
          <w:sz w:val="22"/>
        </w:rPr>
        <w:t> </w:t>
      </w:r>
      <w:r>
        <w:rPr>
          <w:b/>
          <w:w w:val="105"/>
          <w:sz w:val="22"/>
        </w:rPr>
        <w:t>71</w:t>
      </w:r>
      <w:r>
        <w:rPr>
          <w:w w:val="105"/>
          <w:sz w:val="22"/>
        </w:rPr>
        <w:t>);</w:t>
      </w:r>
    </w:p>
    <w:p>
      <w:pPr>
        <w:pStyle w:val="Heading2"/>
        <w:ind w:right="2272"/>
      </w:pPr>
      <w:r>
        <w:rPr>
          <w:w w:val="105"/>
        </w:rPr>
        <w:t>chiede</w:t>
      </w:r>
    </w:p>
    <w:p>
      <w:pPr>
        <w:pStyle w:val="BodyText"/>
        <w:spacing w:before="1"/>
        <w:rPr>
          <w:b/>
          <w:sz w:val="23"/>
        </w:rPr>
      </w:pPr>
    </w:p>
    <w:p>
      <w:pPr>
        <w:pStyle w:val="BodyText"/>
        <w:spacing w:line="491" w:lineRule="auto"/>
        <w:ind w:left="400" w:right="2195"/>
        <w:jc w:val="both"/>
      </w:pPr>
      <w:r>
        <w:rPr>
          <w:w w:val="105"/>
        </w:rPr>
        <w:t>di</w:t>
      </w:r>
      <w:r>
        <w:rPr>
          <w:spacing w:val="-7"/>
          <w:w w:val="105"/>
        </w:rPr>
        <w:t> </w:t>
      </w:r>
      <w:r>
        <w:rPr>
          <w:w w:val="105"/>
        </w:rPr>
        <w:t>essere</w:t>
      </w:r>
      <w:r>
        <w:rPr>
          <w:spacing w:val="-7"/>
          <w:w w:val="105"/>
        </w:rPr>
        <w:t> </w:t>
      </w:r>
      <w:r>
        <w:rPr>
          <w:w w:val="105"/>
        </w:rPr>
        <w:t>ammessa</w:t>
      </w:r>
      <w:r>
        <w:rPr>
          <w:spacing w:val="-7"/>
          <w:w w:val="105"/>
        </w:rPr>
        <w:t> </w:t>
      </w:r>
      <w:r>
        <w:rPr>
          <w:w w:val="105"/>
        </w:rPr>
        <w:t>alla</w:t>
      </w:r>
      <w:r>
        <w:rPr>
          <w:spacing w:val="-7"/>
          <w:w w:val="105"/>
        </w:rPr>
        <w:t> </w:t>
      </w:r>
      <w:r>
        <w:rPr>
          <w:w w:val="105"/>
        </w:rPr>
        <w:t>procedura</w:t>
      </w:r>
      <w:r>
        <w:rPr>
          <w:spacing w:val="-7"/>
          <w:w w:val="105"/>
        </w:rPr>
        <w:t> </w:t>
      </w:r>
      <w:r>
        <w:rPr>
          <w:w w:val="105"/>
        </w:rPr>
        <w:t>di</w:t>
      </w:r>
      <w:r>
        <w:rPr>
          <w:spacing w:val="-8"/>
          <w:w w:val="105"/>
        </w:rPr>
        <w:t> </w:t>
      </w:r>
      <w:r>
        <w:rPr>
          <w:w w:val="105"/>
        </w:rPr>
        <w:t>concordato</w:t>
      </w:r>
      <w:r>
        <w:rPr>
          <w:spacing w:val="-6"/>
          <w:w w:val="105"/>
        </w:rPr>
        <w:t> </w:t>
      </w:r>
      <w:r>
        <w:rPr>
          <w:w w:val="105"/>
        </w:rPr>
        <w:t>preventivo</w:t>
      </w:r>
      <w:r>
        <w:rPr>
          <w:spacing w:val="-9"/>
          <w:w w:val="105"/>
        </w:rPr>
        <w:t> </w:t>
      </w:r>
      <w:r>
        <w:rPr>
          <w:w w:val="105"/>
        </w:rPr>
        <w:t>a</w:t>
      </w:r>
      <w:r>
        <w:rPr>
          <w:spacing w:val="-7"/>
          <w:w w:val="105"/>
        </w:rPr>
        <w:t> </w:t>
      </w:r>
      <w:r>
        <w:rPr>
          <w:w w:val="105"/>
        </w:rPr>
        <w:t>norma</w:t>
      </w:r>
      <w:r>
        <w:rPr>
          <w:spacing w:val="-7"/>
          <w:w w:val="105"/>
        </w:rPr>
        <w:t> </w:t>
      </w:r>
      <w:r>
        <w:rPr>
          <w:w w:val="105"/>
        </w:rPr>
        <w:t>dell'art. 161 legge fall., da attuare secondo le modalità e le tempistiche del Piano, come sopra sintetizzate e qui di seguito meglio illustrate, instando fin d’ora, qualora codesto Illustrissimo Tribunale adito lo ritenesse opportuno, per la concessione di 15 giorni per apportare eventuali integrazioni e produrre nuovi</w:t>
      </w:r>
      <w:r>
        <w:rPr>
          <w:spacing w:val="-14"/>
          <w:w w:val="105"/>
        </w:rPr>
        <w:t> </w:t>
      </w:r>
      <w:r>
        <w:rPr>
          <w:w w:val="105"/>
        </w:rPr>
        <w:t>documenti,</w:t>
      </w:r>
      <w:r>
        <w:rPr>
          <w:spacing w:val="-14"/>
          <w:w w:val="105"/>
        </w:rPr>
        <w:t> </w:t>
      </w:r>
      <w:r>
        <w:rPr>
          <w:w w:val="105"/>
        </w:rPr>
        <w:t>ai</w:t>
      </w:r>
      <w:r>
        <w:rPr>
          <w:spacing w:val="-14"/>
          <w:w w:val="105"/>
        </w:rPr>
        <w:t> </w:t>
      </w:r>
      <w:r>
        <w:rPr>
          <w:w w:val="105"/>
        </w:rPr>
        <w:t>sensi</w:t>
      </w:r>
      <w:r>
        <w:rPr>
          <w:spacing w:val="-14"/>
          <w:w w:val="105"/>
        </w:rPr>
        <w:t> </w:t>
      </w:r>
      <w:r>
        <w:rPr>
          <w:w w:val="105"/>
        </w:rPr>
        <w:t>e</w:t>
      </w:r>
      <w:r>
        <w:rPr>
          <w:spacing w:val="-14"/>
          <w:w w:val="105"/>
        </w:rPr>
        <w:t> </w:t>
      </w:r>
      <w:r>
        <w:rPr>
          <w:w w:val="105"/>
        </w:rPr>
        <w:t>per</w:t>
      </w:r>
      <w:r>
        <w:rPr>
          <w:spacing w:val="-14"/>
          <w:w w:val="105"/>
        </w:rPr>
        <w:t> </w:t>
      </w:r>
      <w:r>
        <w:rPr>
          <w:w w:val="105"/>
        </w:rPr>
        <w:t>gli</w:t>
      </w:r>
      <w:r>
        <w:rPr>
          <w:spacing w:val="-14"/>
          <w:w w:val="105"/>
        </w:rPr>
        <w:t> </w:t>
      </w:r>
      <w:r>
        <w:rPr>
          <w:w w:val="105"/>
        </w:rPr>
        <w:t>effetti</w:t>
      </w:r>
      <w:r>
        <w:rPr>
          <w:spacing w:val="-15"/>
          <w:w w:val="105"/>
        </w:rPr>
        <w:t> </w:t>
      </w:r>
      <w:r>
        <w:rPr>
          <w:w w:val="105"/>
        </w:rPr>
        <w:t>dell’art.</w:t>
      </w:r>
      <w:r>
        <w:rPr>
          <w:spacing w:val="-13"/>
          <w:w w:val="105"/>
        </w:rPr>
        <w:t> </w:t>
      </w:r>
      <w:r>
        <w:rPr>
          <w:w w:val="105"/>
        </w:rPr>
        <w:t>162,</w:t>
      </w:r>
      <w:r>
        <w:rPr>
          <w:spacing w:val="-14"/>
          <w:w w:val="105"/>
        </w:rPr>
        <w:t> </w:t>
      </w:r>
      <w:r>
        <w:rPr>
          <w:w w:val="105"/>
        </w:rPr>
        <w:t>comma</w:t>
      </w:r>
      <w:r>
        <w:rPr>
          <w:spacing w:val="-14"/>
          <w:w w:val="105"/>
        </w:rPr>
        <w:t> </w:t>
      </w:r>
      <w:r>
        <w:rPr>
          <w:w w:val="105"/>
        </w:rPr>
        <w:t>1,</w:t>
      </w:r>
      <w:r>
        <w:rPr>
          <w:spacing w:val="-14"/>
          <w:w w:val="105"/>
        </w:rPr>
        <w:t> </w:t>
      </w:r>
      <w:r>
        <w:rPr>
          <w:w w:val="105"/>
        </w:rPr>
        <w:t>legge</w:t>
      </w:r>
      <w:r>
        <w:rPr>
          <w:spacing w:val="-14"/>
          <w:w w:val="105"/>
        </w:rPr>
        <w:t> </w:t>
      </w:r>
      <w:r>
        <w:rPr>
          <w:w w:val="105"/>
        </w:rPr>
        <w:t>fall.</w:t>
      </w:r>
    </w:p>
    <w:p>
      <w:pPr>
        <w:spacing w:after="0" w:line="491" w:lineRule="auto"/>
        <w:jc w:val="both"/>
        <w:sectPr>
          <w:pgSz w:w="12240" w:h="15840"/>
          <w:pgMar w:header="0" w:footer="790" w:top="1500" w:bottom="980" w:left="1720" w:right="1200"/>
        </w:sectPr>
      </w:pPr>
    </w:p>
    <w:p>
      <w:pPr>
        <w:pStyle w:val="Heading2"/>
        <w:spacing w:before="105"/>
        <w:ind w:left="475" w:right="2273"/>
      </w:pPr>
      <w:bookmarkStart w:name="_TOC_250051" w:id="1"/>
      <w:bookmarkEnd w:id="1"/>
      <w:r>
        <w:rPr>
          <w:w w:val="105"/>
        </w:rPr>
        <w:t>CAPITOLO 1</w:t>
      </w:r>
    </w:p>
    <w:p>
      <w:pPr>
        <w:pStyle w:val="BodyText"/>
        <w:rPr>
          <w:b/>
          <w:sz w:val="23"/>
        </w:rPr>
      </w:pPr>
    </w:p>
    <w:p>
      <w:pPr>
        <w:pStyle w:val="Heading2"/>
        <w:ind w:right="2271"/>
      </w:pPr>
      <w:bookmarkStart w:name="_TOC_250050" w:id="2"/>
      <w:bookmarkEnd w:id="2"/>
      <w:r>
        <w:rPr>
          <w:w w:val="105"/>
        </w:rPr>
        <w:t>Anagrafica, soci fondatori ed oggetto sociale</w:t>
      </w:r>
    </w:p>
    <w:p>
      <w:pPr>
        <w:pStyle w:val="BodyText"/>
        <w:spacing w:before="1"/>
        <w:rPr>
          <w:b/>
          <w:sz w:val="23"/>
        </w:rPr>
      </w:pPr>
    </w:p>
    <w:p>
      <w:pPr>
        <w:pStyle w:val="BodyText"/>
        <w:spacing w:line="491" w:lineRule="auto"/>
        <w:ind w:left="400" w:right="2195"/>
        <w:jc w:val="both"/>
      </w:pPr>
      <w:r>
        <w:rPr>
          <w:w w:val="105"/>
        </w:rPr>
        <w:t>La società Biochemtex S.p.A. (d’ora innanzi anche, per brevità, “</w:t>
      </w:r>
      <w:r>
        <w:rPr>
          <w:b/>
          <w:w w:val="105"/>
        </w:rPr>
        <w:t>Biochemtex</w:t>
      </w:r>
      <w:r>
        <w:rPr>
          <w:w w:val="105"/>
        </w:rPr>
        <w:t>”) ha sede legale, operativa e direzionale in Tortona (AL), Strada Ribrocca n. 11, Codice Fiscale e Partita I.V.A. n. 04740320967, iscritta al Registro Imprese di Alessandria, Numero R.E.A. – AL -224380 (</w:t>
      </w:r>
      <w:r>
        <w:rPr>
          <w:i/>
          <w:w w:val="105"/>
        </w:rPr>
        <w:t>cfr. </w:t>
      </w:r>
      <w:r>
        <w:rPr>
          <w:w w:val="105"/>
        </w:rPr>
        <w:t>doc. 1).</w:t>
      </w:r>
    </w:p>
    <w:p>
      <w:pPr>
        <w:pStyle w:val="BodyText"/>
        <w:spacing w:line="491" w:lineRule="auto"/>
        <w:ind w:left="400" w:right="2196"/>
        <w:jc w:val="both"/>
      </w:pPr>
      <w:r>
        <w:rPr>
          <w:w w:val="105"/>
        </w:rPr>
        <w:t>Biochemtex è stata costituita in data 10 maggio 2005 ed ha il seguente oggetto sociale principale:</w:t>
      </w:r>
    </w:p>
    <w:p>
      <w:pPr>
        <w:spacing w:line="491" w:lineRule="auto" w:before="0"/>
        <w:ind w:left="400" w:right="2198" w:firstLine="0"/>
        <w:jc w:val="both"/>
        <w:rPr>
          <w:i/>
          <w:sz w:val="22"/>
        </w:rPr>
      </w:pPr>
      <w:r>
        <w:rPr>
          <w:i/>
          <w:w w:val="105"/>
          <w:sz w:val="22"/>
        </w:rPr>
        <w:t>“a) lo studio, la progettazione, la fabbricazione, la manutenzione, la compravendita e la </w:t>
      </w:r>
      <w:r>
        <w:rPr>
          <w:i/>
          <w:w w:val="105"/>
          <w:sz w:val="22"/>
        </w:rPr>
        <w:t>permuta di impianti, macchinari ed attrezzature per i settori chimico, meccanica e delle materie platiche;</w:t>
      </w:r>
    </w:p>
    <w:p>
      <w:pPr>
        <w:pStyle w:val="ListParagraph"/>
        <w:numPr>
          <w:ilvl w:val="0"/>
          <w:numId w:val="6"/>
        </w:numPr>
        <w:tabs>
          <w:tab w:pos="636" w:val="left" w:leader="none"/>
        </w:tabs>
        <w:spacing w:line="494" w:lineRule="auto" w:before="0" w:after="0"/>
        <w:ind w:left="400" w:right="2199" w:firstLine="0"/>
        <w:jc w:val="both"/>
        <w:rPr>
          <w:i/>
          <w:sz w:val="22"/>
        </w:rPr>
      </w:pPr>
      <w:r>
        <w:rPr>
          <w:i/>
          <w:w w:val="105"/>
          <w:sz w:val="22"/>
        </w:rPr>
        <w:t>l’installazione e l’assistenza all’installazione di impianti, macchinari ed attrezzature </w:t>
      </w:r>
      <w:r>
        <w:rPr>
          <w:i/>
          <w:w w:val="105"/>
          <w:sz w:val="22"/>
        </w:rPr>
        <w:t>per</w:t>
      </w:r>
      <w:r>
        <w:rPr>
          <w:i/>
          <w:spacing w:val="-19"/>
          <w:w w:val="105"/>
          <w:sz w:val="22"/>
        </w:rPr>
        <w:t> </w:t>
      </w:r>
      <w:r>
        <w:rPr>
          <w:i/>
          <w:w w:val="105"/>
          <w:sz w:val="22"/>
        </w:rPr>
        <w:t>l’industria</w:t>
      </w:r>
      <w:r>
        <w:rPr>
          <w:i/>
          <w:spacing w:val="-19"/>
          <w:w w:val="105"/>
          <w:sz w:val="22"/>
        </w:rPr>
        <w:t> </w:t>
      </w:r>
      <w:r>
        <w:rPr>
          <w:i/>
          <w:w w:val="105"/>
          <w:sz w:val="22"/>
        </w:rPr>
        <w:t>chimica,</w:t>
      </w:r>
      <w:r>
        <w:rPr>
          <w:i/>
          <w:spacing w:val="-19"/>
          <w:w w:val="105"/>
          <w:sz w:val="22"/>
        </w:rPr>
        <w:t> </w:t>
      </w:r>
      <w:r>
        <w:rPr>
          <w:i/>
          <w:w w:val="105"/>
          <w:sz w:val="22"/>
        </w:rPr>
        <w:t>meccanica</w:t>
      </w:r>
      <w:r>
        <w:rPr>
          <w:i/>
          <w:spacing w:val="-19"/>
          <w:w w:val="105"/>
          <w:sz w:val="22"/>
        </w:rPr>
        <w:t> </w:t>
      </w:r>
      <w:r>
        <w:rPr>
          <w:i/>
          <w:w w:val="105"/>
          <w:sz w:val="22"/>
        </w:rPr>
        <w:t>e</w:t>
      </w:r>
      <w:r>
        <w:rPr>
          <w:i/>
          <w:spacing w:val="-19"/>
          <w:w w:val="105"/>
          <w:sz w:val="22"/>
        </w:rPr>
        <w:t> </w:t>
      </w:r>
      <w:r>
        <w:rPr>
          <w:i/>
          <w:w w:val="105"/>
          <w:sz w:val="22"/>
        </w:rPr>
        <w:t>delle</w:t>
      </w:r>
      <w:r>
        <w:rPr>
          <w:i/>
          <w:spacing w:val="-19"/>
          <w:w w:val="105"/>
          <w:sz w:val="22"/>
        </w:rPr>
        <w:t> </w:t>
      </w:r>
      <w:r>
        <w:rPr>
          <w:i/>
          <w:w w:val="105"/>
          <w:sz w:val="22"/>
        </w:rPr>
        <w:t>materie</w:t>
      </w:r>
      <w:r>
        <w:rPr>
          <w:i/>
          <w:spacing w:val="-19"/>
          <w:w w:val="105"/>
          <w:sz w:val="22"/>
        </w:rPr>
        <w:t> </w:t>
      </w:r>
      <w:r>
        <w:rPr>
          <w:i/>
          <w:w w:val="105"/>
          <w:sz w:val="22"/>
        </w:rPr>
        <w:t>plastiche;</w:t>
      </w:r>
    </w:p>
    <w:p>
      <w:pPr>
        <w:pStyle w:val="ListParagraph"/>
        <w:numPr>
          <w:ilvl w:val="0"/>
          <w:numId w:val="6"/>
        </w:numPr>
        <w:tabs>
          <w:tab w:pos="580" w:val="left" w:leader="none"/>
        </w:tabs>
        <w:spacing w:line="245" w:lineRule="exact" w:before="0" w:after="0"/>
        <w:ind w:left="579" w:right="0" w:hanging="179"/>
        <w:jc w:val="both"/>
        <w:rPr>
          <w:i/>
          <w:sz w:val="22"/>
        </w:rPr>
      </w:pPr>
      <w:r>
        <w:rPr>
          <w:i/>
          <w:w w:val="105"/>
          <w:sz w:val="22"/>
        </w:rPr>
        <w:t>la</w:t>
      </w:r>
      <w:r>
        <w:rPr>
          <w:i/>
          <w:spacing w:val="-20"/>
          <w:w w:val="105"/>
          <w:sz w:val="22"/>
        </w:rPr>
        <w:t> </w:t>
      </w:r>
      <w:r>
        <w:rPr>
          <w:i/>
          <w:w w:val="105"/>
          <w:sz w:val="22"/>
        </w:rPr>
        <w:t>prestazione</w:t>
      </w:r>
      <w:r>
        <w:rPr>
          <w:i/>
          <w:spacing w:val="-20"/>
          <w:w w:val="105"/>
          <w:sz w:val="22"/>
        </w:rPr>
        <w:t> </w:t>
      </w:r>
      <w:r>
        <w:rPr>
          <w:i/>
          <w:w w:val="105"/>
          <w:sz w:val="22"/>
        </w:rPr>
        <w:t>di</w:t>
      </w:r>
      <w:r>
        <w:rPr>
          <w:i/>
          <w:spacing w:val="-20"/>
          <w:w w:val="105"/>
          <w:sz w:val="22"/>
        </w:rPr>
        <w:t> </w:t>
      </w:r>
      <w:r>
        <w:rPr>
          <w:i/>
          <w:w w:val="105"/>
          <w:sz w:val="22"/>
        </w:rPr>
        <w:t>consulenza</w:t>
      </w:r>
      <w:r>
        <w:rPr>
          <w:i/>
          <w:spacing w:val="-20"/>
          <w:w w:val="105"/>
          <w:sz w:val="22"/>
        </w:rPr>
        <w:t> </w:t>
      </w:r>
      <w:r>
        <w:rPr>
          <w:i/>
          <w:w w:val="105"/>
          <w:sz w:val="22"/>
        </w:rPr>
        <w:t>industriale</w:t>
      </w:r>
      <w:r>
        <w:rPr>
          <w:i/>
          <w:spacing w:val="-20"/>
          <w:w w:val="105"/>
          <w:sz w:val="22"/>
        </w:rPr>
        <w:t> </w:t>
      </w:r>
      <w:r>
        <w:rPr>
          <w:i/>
          <w:w w:val="105"/>
          <w:sz w:val="22"/>
        </w:rPr>
        <w:t>e/o</w:t>
      </w:r>
      <w:r>
        <w:rPr>
          <w:i/>
          <w:spacing w:val="-20"/>
          <w:w w:val="105"/>
          <w:sz w:val="22"/>
        </w:rPr>
        <w:t> </w:t>
      </w:r>
      <w:r>
        <w:rPr>
          <w:i/>
          <w:w w:val="105"/>
          <w:sz w:val="22"/>
        </w:rPr>
        <w:t>commerciale;</w:t>
      </w:r>
    </w:p>
    <w:p>
      <w:pPr>
        <w:pStyle w:val="BodyText"/>
        <w:spacing w:before="3"/>
        <w:rPr>
          <w:i/>
          <w:sz w:val="23"/>
        </w:rPr>
      </w:pPr>
    </w:p>
    <w:p>
      <w:pPr>
        <w:pStyle w:val="ListParagraph"/>
        <w:numPr>
          <w:ilvl w:val="0"/>
          <w:numId w:val="6"/>
        </w:numPr>
        <w:tabs>
          <w:tab w:pos="654" w:val="left" w:leader="none"/>
        </w:tabs>
        <w:spacing w:line="491" w:lineRule="auto" w:before="0" w:after="0"/>
        <w:ind w:left="400" w:right="2196" w:firstLine="0"/>
        <w:jc w:val="both"/>
        <w:rPr>
          <w:sz w:val="22"/>
        </w:rPr>
      </w:pPr>
      <w:r>
        <w:rPr>
          <w:i/>
          <w:w w:val="105"/>
          <w:sz w:val="22"/>
        </w:rPr>
        <w:t>l’attività di compravendita, esercizio e sfruttamento di brevetti, know-how e simili </w:t>
      </w:r>
      <w:r>
        <w:rPr>
          <w:i/>
          <w:w w:val="105"/>
          <w:sz w:val="22"/>
        </w:rPr>
        <w:t>(…).”</w:t>
      </w:r>
      <w:r>
        <w:rPr>
          <w:w w:val="105"/>
          <w:sz w:val="22"/>
        </w:rPr>
        <w:t>(</w:t>
      </w:r>
      <w:r>
        <w:rPr>
          <w:i/>
          <w:w w:val="105"/>
          <w:sz w:val="22"/>
        </w:rPr>
        <w:t>cfr.</w:t>
      </w:r>
      <w:r>
        <w:rPr>
          <w:i/>
          <w:spacing w:val="-17"/>
          <w:w w:val="105"/>
          <w:sz w:val="22"/>
        </w:rPr>
        <w:t> </w:t>
      </w:r>
      <w:r>
        <w:rPr>
          <w:b/>
          <w:w w:val="105"/>
          <w:sz w:val="22"/>
        </w:rPr>
        <w:t>doc.</w:t>
      </w:r>
      <w:r>
        <w:rPr>
          <w:b/>
          <w:spacing w:val="-17"/>
          <w:w w:val="105"/>
          <w:sz w:val="22"/>
        </w:rPr>
        <w:t> </w:t>
      </w:r>
      <w:r>
        <w:rPr>
          <w:b/>
          <w:w w:val="105"/>
          <w:sz w:val="22"/>
        </w:rPr>
        <w:t>n.</w:t>
      </w:r>
      <w:r>
        <w:rPr>
          <w:b/>
          <w:spacing w:val="-17"/>
          <w:w w:val="105"/>
          <w:sz w:val="22"/>
        </w:rPr>
        <w:t> </w:t>
      </w:r>
      <w:r>
        <w:rPr>
          <w:b/>
          <w:w w:val="105"/>
          <w:sz w:val="22"/>
        </w:rPr>
        <w:t>3</w:t>
      </w:r>
      <w:r>
        <w:rPr>
          <w:w w:val="105"/>
          <w:sz w:val="22"/>
        </w:rPr>
        <w:t>).</w:t>
      </w:r>
    </w:p>
    <w:p>
      <w:pPr>
        <w:spacing w:after="0" w:line="491" w:lineRule="auto"/>
        <w:jc w:val="both"/>
        <w:rPr>
          <w:sz w:val="22"/>
        </w:rPr>
        <w:sectPr>
          <w:pgSz w:w="12240" w:h="15840"/>
          <w:pgMar w:header="0" w:footer="790" w:top="1500" w:bottom="980" w:left="1720" w:right="1200"/>
        </w:sectPr>
      </w:pPr>
    </w:p>
    <w:p>
      <w:pPr>
        <w:pStyle w:val="Heading2"/>
        <w:spacing w:before="105"/>
        <w:ind w:right="2273"/>
      </w:pPr>
      <w:bookmarkStart w:name="_TOC_250049" w:id="3"/>
      <w:bookmarkEnd w:id="3"/>
      <w:r>
        <w:rPr>
          <w:w w:val="105"/>
        </w:rPr>
        <w:t>CAPITOLO 2</w:t>
      </w:r>
    </w:p>
    <w:p>
      <w:pPr>
        <w:pStyle w:val="BodyText"/>
        <w:rPr>
          <w:b/>
          <w:sz w:val="23"/>
        </w:rPr>
      </w:pPr>
    </w:p>
    <w:p>
      <w:pPr>
        <w:pStyle w:val="Heading2"/>
        <w:spacing w:line="494" w:lineRule="auto"/>
        <w:ind w:right="2273"/>
      </w:pPr>
      <w:bookmarkStart w:name="_TOC_250048" w:id="4"/>
      <w:r>
        <w:rPr>
          <w:w w:val="105"/>
        </w:rPr>
        <w:t>Il</w:t>
      </w:r>
      <w:r>
        <w:rPr>
          <w:spacing w:val="-21"/>
          <w:w w:val="105"/>
        </w:rPr>
        <w:t> </w:t>
      </w:r>
      <w:r>
        <w:rPr>
          <w:w w:val="105"/>
        </w:rPr>
        <w:t>capitale,</w:t>
      </w:r>
      <w:r>
        <w:rPr>
          <w:spacing w:val="-21"/>
          <w:w w:val="105"/>
        </w:rPr>
        <w:t> </w:t>
      </w:r>
      <w:r>
        <w:rPr>
          <w:w w:val="105"/>
        </w:rPr>
        <w:t>la</w:t>
      </w:r>
      <w:r>
        <w:rPr>
          <w:spacing w:val="-20"/>
          <w:w w:val="105"/>
        </w:rPr>
        <w:t> </w:t>
      </w:r>
      <w:r>
        <w:rPr>
          <w:w w:val="105"/>
        </w:rPr>
        <w:t>compagine</w:t>
      </w:r>
      <w:r>
        <w:rPr>
          <w:spacing w:val="-21"/>
          <w:w w:val="105"/>
        </w:rPr>
        <w:t> </w:t>
      </w:r>
      <w:r>
        <w:rPr>
          <w:w w:val="105"/>
        </w:rPr>
        <w:t>sociale,</w:t>
      </w:r>
      <w:r>
        <w:rPr>
          <w:spacing w:val="-21"/>
          <w:w w:val="105"/>
        </w:rPr>
        <w:t> </w:t>
      </w:r>
      <w:r>
        <w:rPr>
          <w:w w:val="105"/>
        </w:rPr>
        <w:t>l’amministrazione,</w:t>
      </w:r>
      <w:r>
        <w:rPr>
          <w:spacing w:val="-21"/>
          <w:w w:val="105"/>
        </w:rPr>
        <w:t> </w:t>
      </w:r>
      <w:r>
        <w:rPr>
          <w:w w:val="105"/>
        </w:rPr>
        <w:t>il</w:t>
      </w:r>
      <w:r>
        <w:rPr>
          <w:spacing w:val="-21"/>
          <w:w w:val="105"/>
        </w:rPr>
        <w:t> </w:t>
      </w:r>
      <w:r>
        <w:rPr>
          <w:w w:val="105"/>
        </w:rPr>
        <w:t>controllo</w:t>
      </w:r>
      <w:r>
        <w:rPr>
          <w:spacing w:val="-21"/>
          <w:w w:val="105"/>
        </w:rPr>
        <w:t> </w:t>
      </w:r>
      <w:r>
        <w:rPr>
          <w:w w:val="105"/>
        </w:rPr>
        <w:t>e</w:t>
      </w:r>
      <w:r>
        <w:rPr>
          <w:spacing w:val="-21"/>
          <w:w w:val="105"/>
        </w:rPr>
        <w:t> </w:t>
      </w:r>
      <w:r>
        <w:rPr>
          <w:w w:val="105"/>
        </w:rPr>
        <w:t>il </w:t>
      </w:r>
      <w:r>
        <w:rPr/>
        <w:t>personale</w:t>
      </w:r>
      <w:r>
        <w:rPr>
          <w:spacing w:val="48"/>
        </w:rPr>
        <w:t> </w:t>
      </w:r>
      <w:bookmarkEnd w:id="4"/>
      <w:r>
        <w:rPr/>
        <w:t>dipendente</w:t>
      </w:r>
    </w:p>
    <w:p>
      <w:pPr>
        <w:pStyle w:val="BodyText"/>
        <w:spacing w:line="491" w:lineRule="auto"/>
        <w:ind w:left="400" w:right="2194"/>
        <w:jc w:val="both"/>
      </w:pPr>
      <w:r>
        <w:rPr>
          <w:w w:val="105"/>
        </w:rPr>
        <w:t>Il</w:t>
      </w:r>
      <w:r>
        <w:rPr>
          <w:spacing w:val="-9"/>
          <w:w w:val="105"/>
        </w:rPr>
        <w:t> </w:t>
      </w:r>
      <w:r>
        <w:rPr>
          <w:w w:val="105"/>
        </w:rPr>
        <w:t>capitale</w:t>
      </w:r>
      <w:r>
        <w:rPr>
          <w:spacing w:val="-10"/>
          <w:w w:val="105"/>
        </w:rPr>
        <w:t> </w:t>
      </w:r>
      <w:r>
        <w:rPr>
          <w:w w:val="105"/>
        </w:rPr>
        <w:t>sociale</w:t>
      </w:r>
      <w:r>
        <w:rPr>
          <w:spacing w:val="-10"/>
          <w:w w:val="105"/>
        </w:rPr>
        <w:t> </w:t>
      </w:r>
      <w:r>
        <w:rPr>
          <w:w w:val="105"/>
        </w:rPr>
        <w:t>di</w:t>
      </w:r>
      <w:r>
        <w:rPr>
          <w:spacing w:val="-9"/>
          <w:w w:val="105"/>
        </w:rPr>
        <w:t> </w:t>
      </w:r>
      <w:r>
        <w:rPr>
          <w:w w:val="105"/>
        </w:rPr>
        <w:t>Biochemtex</w:t>
      </w:r>
      <w:r>
        <w:rPr>
          <w:spacing w:val="-10"/>
          <w:w w:val="105"/>
        </w:rPr>
        <w:t> </w:t>
      </w:r>
      <w:r>
        <w:rPr>
          <w:w w:val="105"/>
        </w:rPr>
        <w:t>è</w:t>
      </w:r>
      <w:r>
        <w:rPr>
          <w:spacing w:val="-9"/>
          <w:w w:val="105"/>
        </w:rPr>
        <w:t> </w:t>
      </w:r>
      <w:r>
        <w:rPr>
          <w:w w:val="105"/>
        </w:rPr>
        <w:t>stato</w:t>
      </w:r>
      <w:r>
        <w:rPr>
          <w:spacing w:val="-10"/>
          <w:w w:val="105"/>
        </w:rPr>
        <w:t> </w:t>
      </w:r>
      <w:r>
        <w:rPr>
          <w:w w:val="105"/>
        </w:rPr>
        <w:t>deliberato,</w:t>
      </w:r>
      <w:r>
        <w:rPr>
          <w:spacing w:val="-9"/>
          <w:w w:val="105"/>
        </w:rPr>
        <w:t> </w:t>
      </w:r>
      <w:r>
        <w:rPr>
          <w:w w:val="105"/>
        </w:rPr>
        <w:t>sottoscritto</w:t>
      </w:r>
      <w:r>
        <w:rPr>
          <w:spacing w:val="-8"/>
          <w:w w:val="105"/>
        </w:rPr>
        <w:t> </w:t>
      </w:r>
      <w:r>
        <w:rPr>
          <w:w w:val="105"/>
        </w:rPr>
        <w:t>e</w:t>
      </w:r>
      <w:r>
        <w:rPr>
          <w:spacing w:val="-10"/>
          <w:w w:val="105"/>
        </w:rPr>
        <w:t> </w:t>
      </w:r>
      <w:r>
        <w:rPr>
          <w:w w:val="105"/>
        </w:rPr>
        <w:t>versato</w:t>
      </w:r>
      <w:r>
        <w:rPr>
          <w:spacing w:val="-9"/>
          <w:w w:val="105"/>
        </w:rPr>
        <w:t> </w:t>
      </w:r>
      <w:r>
        <w:rPr>
          <w:w w:val="105"/>
        </w:rPr>
        <w:t>per Euro 10.000.000,00 ed è composto da n. 10.000.000,00 azioni ordinarie di un valore nominale di Euro 1,00 (cfr. doc. 1) che sono integralmente possedute dalla M&amp;G Finanziaria ed oggetto di pegno a favore di The Law Debenture</w:t>
      </w:r>
      <w:r>
        <w:rPr>
          <w:spacing w:val="-32"/>
          <w:w w:val="105"/>
        </w:rPr>
        <w:t> </w:t>
      </w:r>
      <w:r>
        <w:rPr>
          <w:w w:val="105"/>
        </w:rPr>
        <w:t>Trust</w:t>
      </w:r>
      <w:r>
        <w:rPr>
          <w:spacing w:val="-32"/>
          <w:w w:val="105"/>
        </w:rPr>
        <w:t> </w:t>
      </w:r>
      <w:r>
        <w:rPr>
          <w:w w:val="105"/>
        </w:rPr>
        <w:t>Corporation</w:t>
      </w:r>
      <w:r>
        <w:rPr>
          <w:spacing w:val="-32"/>
          <w:w w:val="105"/>
        </w:rPr>
        <w:t> </w:t>
      </w:r>
      <w:r>
        <w:rPr>
          <w:w w:val="105"/>
        </w:rPr>
        <w:t>P.L.C.</w:t>
      </w:r>
    </w:p>
    <w:p>
      <w:pPr>
        <w:pStyle w:val="BodyText"/>
        <w:spacing w:line="491" w:lineRule="auto" w:before="3"/>
        <w:ind w:left="400" w:right="2198"/>
        <w:jc w:val="both"/>
      </w:pPr>
      <w:r>
        <w:rPr>
          <w:w w:val="105"/>
        </w:rPr>
        <w:t>Biochemtex</w:t>
      </w:r>
      <w:r>
        <w:rPr>
          <w:spacing w:val="-16"/>
          <w:w w:val="105"/>
        </w:rPr>
        <w:t> </w:t>
      </w:r>
      <w:r>
        <w:rPr>
          <w:w w:val="105"/>
        </w:rPr>
        <w:t>è</w:t>
      </w:r>
      <w:r>
        <w:rPr>
          <w:spacing w:val="-16"/>
          <w:w w:val="105"/>
        </w:rPr>
        <w:t> </w:t>
      </w:r>
      <w:r>
        <w:rPr>
          <w:w w:val="105"/>
        </w:rPr>
        <w:t>attualmente</w:t>
      </w:r>
      <w:r>
        <w:rPr>
          <w:spacing w:val="-16"/>
          <w:w w:val="105"/>
        </w:rPr>
        <w:t> </w:t>
      </w:r>
      <w:r>
        <w:rPr>
          <w:w w:val="105"/>
        </w:rPr>
        <w:t>gestita</w:t>
      </w:r>
      <w:r>
        <w:rPr>
          <w:spacing w:val="-16"/>
          <w:w w:val="105"/>
        </w:rPr>
        <w:t> </w:t>
      </w:r>
      <w:r>
        <w:rPr>
          <w:w w:val="105"/>
        </w:rPr>
        <w:t>da</w:t>
      </w:r>
      <w:r>
        <w:rPr>
          <w:spacing w:val="-16"/>
          <w:w w:val="105"/>
        </w:rPr>
        <w:t> </w:t>
      </w:r>
      <w:r>
        <w:rPr>
          <w:w w:val="105"/>
        </w:rPr>
        <w:t>un</w:t>
      </w:r>
      <w:r>
        <w:rPr>
          <w:spacing w:val="-16"/>
          <w:w w:val="105"/>
        </w:rPr>
        <w:t> </w:t>
      </w:r>
      <w:r>
        <w:rPr>
          <w:w w:val="105"/>
        </w:rPr>
        <w:t>Consiglio</w:t>
      </w:r>
      <w:r>
        <w:rPr>
          <w:spacing w:val="-17"/>
          <w:w w:val="105"/>
        </w:rPr>
        <w:t> </w:t>
      </w:r>
      <w:r>
        <w:rPr>
          <w:w w:val="105"/>
        </w:rPr>
        <w:t>di</w:t>
      </w:r>
      <w:r>
        <w:rPr>
          <w:spacing w:val="-16"/>
          <w:w w:val="105"/>
        </w:rPr>
        <w:t> </w:t>
      </w:r>
      <w:r>
        <w:rPr>
          <w:w w:val="105"/>
        </w:rPr>
        <w:t>Amministrazione</w:t>
      </w:r>
      <w:r>
        <w:rPr>
          <w:spacing w:val="-14"/>
          <w:w w:val="105"/>
        </w:rPr>
        <w:t> </w:t>
      </w:r>
      <w:r>
        <w:rPr>
          <w:w w:val="105"/>
        </w:rPr>
        <w:t>di</w:t>
      </w:r>
      <w:r>
        <w:rPr>
          <w:spacing w:val="-16"/>
          <w:w w:val="105"/>
        </w:rPr>
        <w:t> </w:t>
      </w:r>
      <w:r>
        <w:rPr>
          <w:w w:val="105"/>
        </w:rPr>
        <w:t>n.</w:t>
      </w:r>
      <w:r>
        <w:rPr>
          <w:spacing w:val="-17"/>
          <w:w w:val="105"/>
        </w:rPr>
        <w:t> </w:t>
      </w:r>
      <w:r>
        <w:rPr>
          <w:w w:val="105"/>
        </w:rPr>
        <w:t>2 membri</w:t>
      </w:r>
      <w:r>
        <w:rPr>
          <w:spacing w:val="-25"/>
          <w:w w:val="105"/>
        </w:rPr>
        <w:t> </w:t>
      </w:r>
      <w:r>
        <w:rPr>
          <w:w w:val="105"/>
        </w:rPr>
        <w:t>composto</w:t>
      </w:r>
      <w:r>
        <w:rPr>
          <w:spacing w:val="-25"/>
          <w:w w:val="105"/>
        </w:rPr>
        <w:t> </w:t>
      </w:r>
      <w:r>
        <w:rPr>
          <w:w w:val="105"/>
        </w:rPr>
        <w:t>dai</w:t>
      </w:r>
      <w:r>
        <w:rPr>
          <w:spacing w:val="-25"/>
          <w:w w:val="105"/>
        </w:rPr>
        <w:t> </w:t>
      </w:r>
      <w:r>
        <w:rPr>
          <w:w w:val="105"/>
        </w:rPr>
        <w:t>Signori:</w:t>
      </w:r>
    </w:p>
    <w:p>
      <w:pPr>
        <w:pStyle w:val="ListParagraph"/>
        <w:numPr>
          <w:ilvl w:val="0"/>
          <w:numId w:val="7"/>
        </w:numPr>
        <w:tabs>
          <w:tab w:pos="1273" w:val="left" w:leader="none"/>
        </w:tabs>
        <w:spacing w:line="489" w:lineRule="auto" w:before="1" w:after="0"/>
        <w:ind w:left="1272" w:right="2195" w:hanging="338"/>
        <w:jc w:val="both"/>
        <w:rPr>
          <w:sz w:val="22"/>
        </w:rPr>
      </w:pPr>
      <w:r>
        <w:rPr>
          <w:w w:val="105"/>
          <w:sz w:val="22"/>
        </w:rPr>
        <w:t>Giovanni</w:t>
      </w:r>
      <w:r>
        <w:rPr>
          <w:spacing w:val="-22"/>
          <w:w w:val="105"/>
          <w:sz w:val="22"/>
        </w:rPr>
        <w:t> </w:t>
      </w:r>
      <w:r>
        <w:rPr>
          <w:w w:val="105"/>
          <w:sz w:val="22"/>
        </w:rPr>
        <w:t>Bolcheni</w:t>
      </w:r>
      <w:r>
        <w:rPr>
          <w:spacing w:val="-22"/>
          <w:w w:val="105"/>
          <w:sz w:val="22"/>
        </w:rPr>
        <w:t> </w:t>
      </w:r>
      <w:r>
        <w:rPr>
          <w:w w:val="105"/>
          <w:sz w:val="22"/>
        </w:rPr>
        <w:t>(Presidente</w:t>
      </w:r>
      <w:r>
        <w:rPr>
          <w:spacing w:val="-22"/>
          <w:w w:val="105"/>
          <w:sz w:val="22"/>
        </w:rPr>
        <w:t> </w:t>
      </w:r>
      <w:r>
        <w:rPr>
          <w:w w:val="105"/>
          <w:sz w:val="22"/>
        </w:rPr>
        <w:t>e</w:t>
      </w:r>
      <w:r>
        <w:rPr>
          <w:spacing w:val="-21"/>
          <w:w w:val="105"/>
          <w:sz w:val="22"/>
        </w:rPr>
        <w:t> </w:t>
      </w:r>
      <w:r>
        <w:rPr>
          <w:w w:val="105"/>
          <w:sz w:val="22"/>
        </w:rPr>
        <w:t>Amministratore</w:t>
      </w:r>
      <w:r>
        <w:rPr>
          <w:spacing w:val="-22"/>
          <w:w w:val="105"/>
          <w:sz w:val="22"/>
        </w:rPr>
        <w:t> </w:t>
      </w:r>
      <w:r>
        <w:rPr>
          <w:w w:val="105"/>
          <w:sz w:val="22"/>
        </w:rPr>
        <w:t>Delegato),</w:t>
      </w:r>
      <w:r>
        <w:rPr>
          <w:spacing w:val="-22"/>
          <w:w w:val="105"/>
          <w:sz w:val="22"/>
        </w:rPr>
        <w:t> </w:t>
      </w:r>
      <w:r>
        <w:rPr>
          <w:w w:val="105"/>
          <w:sz w:val="22"/>
        </w:rPr>
        <w:t>nato</w:t>
      </w:r>
      <w:r>
        <w:rPr>
          <w:spacing w:val="-21"/>
          <w:w w:val="105"/>
          <w:sz w:val="22"/>
        </w:rPr>
        <w:t> </w:t>
      </w:r>
      <w:r>
        <w:rPr>
          <w:w w:val="105"/>
          <w:sz w:val="22"/>
        </w:rPr>
        <w:t>a Spigno Monferrato (AL) il 10 giugno 1944, C.F. BLCGNN44H10I901M, nominato con atto del 28.04.2017, data iscrizione 17-26.5.2017, fino all’approvazione del bilancio al 31.12.2019;</w:t>
      </w:r>
      <w:r>
        <w:rPr>
          <w:spacing w:val="-30"/>
          <w:w w:val="105"/>
          <w:sz w:val="22"/>
        </w:rPr>
        <w:t> </w:t>
      </w:r>
      <w:r>
        <w:rPr>
          <w:w w:val="105"/>
          <w:sz w:val="22"/>
        </w:rPr>
        <w:t>e</w:t>
      </w:r>
    </w:p>
    <w:p>
      <w:pPr>
        <w:pStyle w:val="ListParagraph"/>
        <w:numPr>
          <w:ilvl w:val="0"/>
          <w:numId w:val="7"/>
        </w:numPr>
        <w:tabs>
          <w:tab w:pos="1273" w:val="left" w:leader="none"/>
        </w:tabs>
        <w:spacing w:line="484" w:lineRule="auto" w:before="3" w:after="0"/>
        <w:ind w:left="1272" w:right="2195" w:hanging="338"/>
        <w:jc w:val="both"/>
        <w:rPr>
          <w:sz w:val="22"/>
        </w:rPr>
      </w:pPr>
      <w:r>
        <w:rPr>
          <w:w w:val="105"/>
          <w:sz w:val="22"/>
        </w:rPr>
        <w:t>Dario Giordano (Consigliere), nato a Alessandria il 10 febbraio 1964, C.F. GRDDRA64B10A182G, nominato con atto del 28.04.2017</w:t>
      </w:r>
      <w:r>
        <w:rPr>
          <w:spacing w:val="-26"/>
          <w:w w:val="105"/>
          <w:sz w:val="22"/>
        </w:rPr>
        <w:t> </w:t>
      </w:r>
      <w:r>
        <w:rPr>
          <w:w w:val="105"/>
          <w:sz w:val="22"/>
        </w:rPr>
        <w:t>fino</w:t>
      </w:r>
      <w:r>
        <w:rPr>
          <w:spacing w:val="-27"/>
          <w:w w:val="105"/>
          <w:sz w:val="22"/>
        </w:rPr>
        <w:t> </w:t>
      </w:r>
      <w:r>
        <w:rPr>
          <w:w w:val="105"/>
          <w:sz w:val="22"/>
        </w:rPr>
        <w:t>all’approvazione</w:t>
      </w:r>
      <w:r>
        <w:rPr>
          <w:spacing w:val="-26"/>
          <w:w w:val="105"/>
          <w:sz w:val="22"/>
        </w:rPr>
        <w:t> </w:t>
      </w:r>
      <w:r>
        <w:rPr>
          <w:w w:val="105"/>
          <w:sz w:val="22"/>
        </w:rPr>
        <w:t>del</w:t>
      </w:r>
      <w:r>
        <w:rPr>
          <w:spacing w:val="-26"/>
          <w:w w:val="105"/>
          <w:sz w:val="22"/>
        </w:rPr>
        <w:t> </w:t>
      </w:r>
      <w:r>
        <w:rPr>
          <w:w w:val="105"/>
          <w:sz w:val="22"/>
        </w:rPr>
        <w:t>bilancio</w:t>
      </w:r>
      <w:r>
        <w:rPr>
          <w:spacing w:val="-26"/>
          <w:w w:val="105"/>
          <w:sz w:val="22"/>
        </w:rPr>
        <w:t> </w:t>
      </w:r>
      <w:r>
        <w:rPr>
          <w:w w:val="105"/>
          <w:sz w:val="22"/>
        </w:rPr>
        <w:t>al</w:t>
      </w:r>
      <w:r>
        <w:rPr>
          <w:spacing w:val="-26"/>
          <w:w w:val="105"/>
          <w:sz w:val="22"/>
        </w:rPr>
        <w:t> </w:t>
      </w:r>
      <w:r>
        <w:rPr>
          <w:w w:val="105"/>
          <w:sz w:val="22"/>
        </w:rPr>
        <w:t>31.12.2019.</w:t>
      </w:r>
    </w:p>
    <w:p>
      <w:pPr>
        <w:pStyle w:val="BodyText"/>
        <w:spacing w:line="491" w:lineRule="auto" w:before="8"/>
        <w:ind w:left="400" w:right="2196"/>
        <w:jc w:val="both"/>
      </w:pPr>
      <w:r>
        <w:rPr>
          <w:w w:val="105"/>
        </w:rPr>
        <w:t>La Società ha nominato, con atto in data 14 aprile 2016 e fino all’approvazione</w:t>
      </w:r>
      <w:r>
        <w:rPr>
          <w:spacing w:val="-5"/>
          <w:w w:val="105"/>
        </w:rPr>
        <w:t> </w:t>
      </w:r>
      <w:r>
        <w:rPr>
          <w:w w:val="105"/>
        </w:rPr>
        <w:t>del</w:t>
      </w:r>
      <w:r>
        <w:rPr>
          <w:spacing w:val="-6"/>
          <w:w w:val="105"/>
        </w:rPr>
        <w:t> </w:t>
      </w:r>
      <w:r>
        <w:rPr>
          <w:w w:val="105"/>
        </w:rPr>
        <w:t>bilancio</w:t>
      </w:r>
      <w:r>
        <w:rPr>
          <w:spacing w:val="-7"/>
          <w:w w:val="105"/>
        </w:rPr>
        <w:t> </w:t>
      </w:r>
      <w:r>
        <w:rPr>
          <w:w w:val="105"/>
        </w:rPr>
        <w:t>al</w:t>
      </w:r>
      <w:r>
        <w:rPr>
          <w:spacing w:val="-6"/>
          <w:w w:val="105"/>
        </w:rPr>
        <w:t> </w:t>
      </w:r>
      <w:r>
        <w:rPr>
          <w:w w:val="105"/>
        </w:rPr>
        <w:t>31.12.2018</w:t>
      </w:r>
      <w:r>
        <w:rPr>
          <w:spacing w:val="-6"/>
          <w:w w:val="105"/>
        </w:rPr>
        <w:t> </w:t>
      </w:r>
      <w:r>
        <w:rPr>
          <w:w w:val="105"/>
        </w:rPr>
        <w:t>(</w:t>
      </w:r>
      <w:r>
        <w:rPr>
          <w:i/>
          <w:w w:val="105"/>
        </w:rPr>
        <w:t>cfr.</w:t>
      </w:r>
      <w:r>
        <w:rPr>
          <w:i/>
          <w:spacing w:val="-6"/>
          <w:w w:val="105"/>
        </w:rPr>
        <w:t> </w:t>
      </w:r>
      <w:r>
        <w:rPr>
          <w:w w:val="105"/>
        </w:rPr>
        <w:t>doc.</w:t>
      </w:r>
      <w:r>
        <w:rPr>
          <w:spacing w:val="-6"/>
          <w:w w:val="105"/>
        </w:rPr>
        <w:t> </w:t>
      </w:r>
      <w:r>
        <w:rPr>
          <w:w w:val="105"/>
        </w:rPr>
        <w:t>1),</w:t>
      </w:r>
      <w:r>
        <w:rPr>
          <w:spacing w:val="-7"/>
          <w:w w:val="105"/>
        </w:rPr>
        <w:t> </w:t>
      </w:r>
      <w:r>
        <w:rPr>
          <w:w w:val="105"/>
        </w:rPr>
        <w:t>un</w:t>
      </w:r>
      <w:r>
        <w:rPr>
          <w:spacing w:val="-7"/>
          <w:w w:val="105"/>
        </w:rPr>
        <w:t> </w:t>
      </w:r>
      <w:r>
        <w:rPr>
          <w:w w:val="105"/>
        </w:rPr>
        <w:t>collegio</w:t>
      </w:r>
      <w:r>
        <w:rPr>
          <w:spacing w:val="-8"/>
          <w:w w:val="105"/>
        </w:rPr>
        <w:t> </w:t>
      </w:r>
      <w:r>
        <w:rPr>
          <w:w w:val="105"/>
        </w:rPr>
        <w:t>sindacale composto</w:t>
      </w:r>
      <w:r>
        <w:rPr>
          <w:spacing w:val="-29"/>
          <w:w w:val="105"/>
        </w:rPr>
        <w:t> </w:t>
      </w:r>
      <w:r>
        <w:rPr>
          <w:w w:val="105"/>
        </w:rPr>
        <w:t>dai</w:t>
      </w:r>
      <w:r>
        <w:rPr>
          <w:spacing w:val="-27"/>
          <w:w w:val="105"/>
        </w:rPr>
        <w:t> </w:t>
      </w:r>
      <w:r>
        <w:rPr>
          <w:w w:val="105"/>
        </w:rPr>
        <w:t>Signori:</w:t>
      </w:r>
    </w:p>
    <w:p>
      <w:pPr>
        <w:pStyle w:val="ListParagraph"/>
        <w:numPr>
          <w:ilvl w:val="0"/>
          <w:numId w:val="7"/>
        </w:numPr>
        <w:tabs>
          <w:tab w:pos="1273" w:val="left" w:leader="none"/>
        </w:tabs>
        <w:spacing w:line="475" w:lineRule="auto" w:before="0" w:after="0"/>
        <w:ind w:left="1272" w:right="2196" w:hanging="338"/>
        <w:jc w:val="both"/>
        <w:rPr>
          <w:sz w:val="22"/>
        </w:rPr>
      </w:pPr>
      <w:r>
        <w:rPr>
          <w:w w:val="105"/>
          <w:sz w:val="22"/>
        </w:rPr>
        <w:t>Dante Davio (Presidente), nominato con atto del 14.04.2016 fino all’approvazione</w:t>
      </w:r>
      <w:r>
        <w:rPr>
          <w:spacing w:val="-29"/>
          <w:w w:val="105"/>
          <w:sz w:val="22"/>
        </w:rPr>
        <w:t> </w:t>
      </w:r>
      <w:r>
        <w:rPr>
          <w:w w:val="105"/>
          <w:sz w:val="22"/>
        </w:rPr>
        <w:t>del</w:t>
      </w:r>
      <w:r>
        <w:rPr>
          <w:spacing w:val="-29"/>
          <w:w w:val="105"/>
          <w:sz w:val="22"/>
        </w:rPr>
        <w:t> </w:t>
      </w:r>
      <w:r>
        <w:rPr>
          <w:w w:val="105"/>
          <w:sz w:val="22"/>
        </w:rPr>
        <w:t>bilancio</w:t>
      </w:r>
      <w:r>
        <w:rPr>
          <w:spacing w:val="-29"/>
          <w:w w:val="105"/>
          <w:sz w:val="22"/>
        </w:rPr>
        <w:t> </w:t>
      </w:r>
      <w:r>
        <w:rPr>
          <w:w w:val="105"/>
          <w:sz w:val="22"/>
        </w:rPr>
        <w:t>al</w:t>
      </w:r>
      <w:r>
        <w:rPr>
          <w:spacing w:val="-29"/>
          <w:w w:val="105"/>
          <w:sz w:val="22"/>
        </w:rPr>
        <w:t> </w:t>
      </w:r>
      <w:r>
        <w:rPr>
          <w:w w:val="105"/>
          <w:sz w:val="22"/>
        </w:rPr>
        <w:t>31.12.2018;</w:t>
      </w:r>
    </w:p>
    <w:p>
      <w:pPr>
        <w:pStyle w:val="ListParagraph"/>
        <w:numPr>
          <w:ilvl w:val="0"/>
          <w:numId w:val="7"/>
        </w:numPr>
        <w:tabs>
          <w:tab w:pos="1272" w:val="left" w:leader="none"/>
          <w:tab w:pos="1273" w:val="left" w:leader="none"/>
        </w:tabs>
        <w:spacing w:line="240" w:lineRule="auto" w:before="18" w:after="0"/>
        <w:ind w:left="1272" w:right="0" w:hanging="338"/>
        <w:jc w:val="left"/>
        <w:rPr>
          <w:sz w:val="22"/>
        </w:rPr>
      </w:pPr>
      <w:r>
        <w:rPr>
          <w:w w:val="105"/>
          <w:sz w:val="22"/>
        </w:rPr>
        <w:t>Roberto  Gianelli  (sindaco  effettivo),  nominato  con  atto   </w:t>
      </w:r>
      <w:r>
        <w:rPr>
          <w:spacing w:val="45"/>
          <w:w w:val="105"/>
          <w:sz w:val="22"/>
        </w:rPr>
        <w:t> </w:t>
      </w:r>
      <w:r>
        <w:rPr>
          <w:w w:val="105"/>
          <w:sz w:val="22"/>
        </w:rPr>
        <w:t>del</w:t>
      </w:r>
    </w:p>
    <w:p>
      <w:pPr>
        <w:spacing w:after="0" w:line="240" w:lineRule="auto"/>
        <w:jc w:val="left"/>
        <w:rPr>
          <w:sz w:val="22"/>
        </w:rPr>
        <w:sectPr>
          <w:pgSz w:w="12240" w:h="15840"/>
          <w:pgMar w:header="0" w:footer="790" w:top="1500" w:bottom="980" w:left="1720" w:right="1200"/>
        </w:sectPr>
      </w:pPr>
    </w:p>
    <w:p>
      <w:pPr>
        <w:pStyle w:val="BodyText"/>
        <w:spacing w:before="105"/>
        <w:ind w:left="1272"/>
      </w:pPr>
      <w:r>
        <w:rPr>
          <w:w w:val="105"/>
        </w:rPr>
        <w:t>14.04.2016 fino all’approvazione del bilancio al 31.12.2018;</w:t>
      </w:r>
    </w:p>
    <w:p>
      <w:pPr>
        <w:pStyle w:val="BodyText"/>
        <w:rPr>
          <w:sz w:val="23"/>
        </w:rPr>
      </w:pPr>
    </w:p>
    <w:p>
      <w:pPr>
        <w:pStyle w:val="ListParagraph"/>
        <w:numPr>
          <w:ilvl w:val="0"/>
          <w:numId w:val="7"/>
        </w:numPr>
        <w:tabs>
          <w:tab w:pos="1273" w:val="left" w:leader="none"/>
        </w:tabs>
        <w:spacing w:line="484" w:lineRule="auto" w:before="0" w:after="0"/>
        <w:ind w:left="1272" w:right="2196" w:hanging="338"/>
        <w:jc w:val="both"/>
        <w:rPr>
          <w:sz w:val="22"/>
        </w:rPr>
      </w:pPr>
      <w:r>
        <w:rPr>
          <w:w w:val="105"/>
          <w:sz w:val="22"/>
        </w:rPr>
        <w:t>Massimo Bianchi (sindaco effettivo), nominato con atto del 14.04.2016, data di prima iscrizione 16.07.2010, fino all’approvazione</w:t>
      </w:r>
      <w:r>
        <w:rPr>
          <w:spacing w:val="-29"/>
          <w:w w:val="105"/>
          <w:sz w:val="22"/>
        </w:rPr>
        <w:t> </w:t>
      </w:r>
      <w:r>
        <w:rPr>
          <w:w w:val="105"/>
          <w:sz w:val="22"/>
        </w:rPr>
        <w:t>del</w:t>
      </w:r>
      <w:r>
        <w:rPr>
          <w:spacing w:val="-29"/>
          <w:w w:val="105"/>
          <w:sz w:val="22"/>
        </w:rPr>
        <w:t> </w:t>
      </w:r>
      <w:r>
        <w:rPr>
          <w:w w:val="105"/>
          <w:sz w:val="22"/>
        </w:rPr>
        <w:t>bilancio</w:t>
      </w:r>
      <w:r>
        <w:rPr>
          <w:spacing w:val="-29"/>
          <w:w w:val="105"/>
          <w:sz w:val="22"/>
        </w:rPr>
        <w:t> </w:t>
      </w:r>
      <w:r>
        <w:rPr>
          <w:w w:val="105"/>
          <w:sz w:val="22"/>
        </w:rPr>
        <w:t>al</w:t>
      </w:r>
      <w:r>
        <w:rPr>
          <w:spacing w:val="-29"/>
          <w:w w:val="105"/>
          <w:sz w:val="22"/>
        </w:rPr>
        <w:t> </w:t>
      </w:r>
      <w:r>
        <w:rPr>
          <w:w w:val="105"/>
          <w:sz w:val="22"/>
        </w:rPr>
        <w:t>31.12.2018;</w:t>
      </w:r>
    </w:p>
    <w:p>
      <w:pPr>
        <w:pStyle w:val="ListParagraph"/>
        <w:numPr>
          <w:ilvl w:val="0"/>
          <w:numId w:val="7"/>
        </w:numPr>
        <w:tabs>
          <w:tab w:pos="1273" w:val="left" w:leader="none"/>
        </w:tabs>
        <w:spacing w:line="475" w:lineRule="auto" w:before="8" w:after="0"/>
        <w:ind w:left="1272" w:right="2196" w:hanging="338"/>
        <w:jc w:val="both"/>
        <w:rPr>
          <w:sz w:val="22"/>
        </w:rPr>
      </w:pPr>
      <w:r>
        <w:rPr>
          <w:w w:val="105"/>
          <w:sz w:val="22"/>
        </w:rPr>
        <w:t>Marco Bobba (sindaco supplente), nominato con atto del 14.04.2016</w:t>
      </w:r>
      <w:r>
        <w:rPr>
          <w:spacing w:val="-26"/>
          <w:w w:val="105"/>
          <w:sz w:val="22"/>
        </w:rPr>
        <w:t> </w:t>
      </w:r>
      <w:r>
        <w:rPr>
          <w:w w:val="105"/>
          <w:sz w:val="22"/>
        </w:rPr>
        <w:t>fino</w:t>
      </w:r>
      <w:r>
        <w:rPr>
          <w:spacing w:val="-27"/>
          <w:w w:val="105"/>
          <w:sz w:val="22"/>
        </w:rPr>
        <w:t> </w:t>
      </w:r>
      <w:r>
        <w:rPr>
          <w:w w:val="105"/>
          <w:sz w:val="22"/>
        </w:rPr>
        <w:t>all’approvazione</w:t>
      </w:r>
      <w:r>
        <w:rPr>
          <w:spacing w:val="-26"/>
          <w:w w:val="105"/>
          <w:sz w:val="22"/>
        </w:rPr>
        <w:t> </w:t>
      </w:r>
      <w:r>
        <w:rPr>
          <w:w w:val="105"/>
          <w:sz w:val="22"/>
        </w:rPr>
        <w:t>del</w:t>
      </w:r>
      <w:r>
        <w:rPr>
          <w:spacing w:val="-26"/>
          <w:w w:val="105"/>
          <w:sz w:val="22"/>
        </w:rPr>
        <w:t> </w:t>
      </w:r>
      <w:r>
        <w:rPr>
          <w:w w:val="105"/>
          <w:sz w:val="22"/>
        </w:rPr>
        <w:t>bilancio</w:t>
      </w:r>
      <w:r>
        <w:rPr>
          <w:spacing w:val="-26"/>
          <w:w w:val="105"/>
          <w:sz w:val="22"/>
        </w:rPr>
        <w:t> </w:t>
      </w:r>
      <w:r>
        <w:rPr>
          <w:w w:val="105"/>
          <w:sz w:val="22"/>
        </w:rPr>
        <w:t>al</w:t>
      </w:r>
      <w:r>
        <w:rPr>
          <w:spacing w:val="-26"/>
          <w:w w:val="105"/>
          <w:sz w:val="22"/>
        </w:rPr>
        <w:t> </w:t>
      </w:r>
      <w:r>
        <w:rPr>
          <w:w w:val="105"/>
          <w:sz w:val="22"/>
        </w:rPr>
        <w:t>31.12.2018;</w:t>
      </w:r>
    </w:p>
    <w:p>
      <w:pPr>
        <w:pStyle w:val="ListParagraph"/>
        <w:numPr>
          <w:ilvl w:val="0"/>
          <w:numId w:val="7"/>
        </w:numPr>
        <w:tabs>
          <w:tab w:pos="1273" w:val="left" w:leader="none"/>
        </w:tabs>
        <w:spacing w:line="484" w:lineRule="auto" w:before="17" w:after="0"/>
        <w:ind w:left="1272" w:right="2197" w:hanging="338"/>
        <w:jc w:val="both"/>
        <w:rPr>
          <w:sz w:val="22"/>
        </w:rPr>
      </w:pPr>
      <w:r>
        <w:rPr>
          <w:w w:val="105"/>
          <w:sz w:val="22"/>
        </w:rPr>
        <w:t>Andrea Bottazzi (sindaco supplente), nominato con atto del 14.04.2016, iscritto in data 12.05.2016, fino all’approvazione del bilancio</w:t>
      </w:r>
      <w:r>
        <w:rPr>
          <w:spacing w:val="-24"/>
          <w:w w:val="105"/>
          <w:sz w:val="22"/>
        </w:rPr>
        <w:t> </w:t>
      </w:r>
      <w:r>
        <w:rPr>
          <w:w w:val="105"/>
          <w:sz w:val="22"/>
        </w:rPr>
        <w:t>al</w:t>
      </w:r>
      <w:r>
        <w:rPr>
          <w:spacing w:val="-25"/>
          <w:w w:val="105"/>
          <w:sz w:val="22"/>
        </w:rPr>
        <w:t> </w:t>
      </w:r>
      <w:r>
        <w:rPr>
          <w:w w:val="105"/>
          <w:sz w:val="22"/>
        </w:rPr>
        <w:t>31.12.2018;</w:t>
      </w:r>
    </w:p>
    <w:p>
      <w:pPr>
        <w:pStyle w:val="BodyText"/>
        <w:spacing w:line="491" w:lineRule="auto" w:before="8"/>
        <w:ind w:left="400" w:right="2200" w:hanging="1"/>
      </w:pPr>
      <w:r>
        <w:rPr>
          <w:w w:val="105"/>
        </w:rPr>
        <w:t>Inoltre Biochemtex ha nominato n. 6 procuratori speciali (</w:t>
      </w:r>
      <w:r>
        <w:rPr>
          <w:i/>
          <w:w w:val="105"/>
        </w:rPr>
        <w:t>cfr. </w:t>
      </w:r>
      <w:r>
        <w:rPr>
          <w:w w:val="105"/>
        </w:rPr>
        <w:t>doc. n. 1). L’attività di revisione legale dei conti è stata affidata, con atto in data 14 aprile 2016 alla società di revisione Reconta Ernst &amp; Young S.p.A., con mandato avente durata sino all’approvazione del bilancio al 31.12.2018 (</w:t>
      </w:r>
      <w:r>
        <w:rPr>
          <w:i/>
          <w:w w:val="105"/>
        </w:rPr>
        <w:t>cfr. </w:t>
      </w:r>
      <w:r>
        <w:rPr>
          <w:w w:val="105"/>
        </w:rPr>
        <w:t>doc. 1).</w:t>
      </w:r>
    </w:p>
    <w:p>
      <w:pPr>
        <w:pStyle w:val="BodyText"/>
        <w:ind w:left="400"/>
      </w:pPr>
      <w:r>
        <w:rPr>
          <w:w w:val="105"/>
        </w:rPr>
        <w:t>Biochemtex ha oggi alle proprie dipendenze n. 47 risorse.</w:t>
      </w:r>
    </w:p>
    <w:p>
      <w:pPr>
        <w:spacing w:after="0"/>
        <w:sectPr>
          <w:pgSz w:w="12240" w:h="15840"/>
          <w:pgMar w:header="0" w:footer="790" w:top="1500" w:bottom="980" w:left="1720" w:right="1200"/>
        </w:sectPr>
      </w:pPr>
    </w:p>
    <w:p>
      <w:pPr>
        <w:pStyle w:val="Heading2"/>
        <w:spacing w:before="105"/>
        <w:ind w:right="2273"/>
      </w:pPr>
      <w:bookmarkStart w:name="_TOC_250047" w:id="5"/>
      <w:bookmarkEnd w:id="5"/>
      <w:r>
        <w:rPr>
          <w:w w:val="105"/>
        </w:rPr>
        <w:t>CAPITOLO 3</w:t>
      </w:r>
    </w:p>
    <w:p>
      <w:pPr>
        <w:pStyle w:val="BodyText"/>
        <w:rPr>
          <w:b/>
          <w:sz w:val="23"/>
        </w:rPr>
      </w:pPr>
    </w:p>
    <w:p>
      <w:pPr>
        <w:pStyle w:val="Heading2"/>
        <w:ind w:right="2272"/>
      </w:pPr>
      <w:bookmarkStart w:name="_TOC_250046" w:id="6"/>
      <w:bookmarkEnd w:id="6"/>
      <w:r>
        <w:rPr>
          <w:w w:val="105"/>
        </w:rPr>
        <w:t>Dati economici e patrimoniali storici e l’esercizio al 15 ottobre 2017</w:t>
      </w:r>
    </w:p>
    <w:p>
      <w:pPr>
        <w:pStyle w:val="BodyText"/>
        <w:spacing w:before="1"/>
        <w:rPr>
          <w:b/>
          <w:sz w:val="23"/>
        </w:rPr>
      </w:pPr>
    </w:p>
    <w:p>
      <w:pPr>
        <w:pStyle w:val="ListParagraph"/>
        <w:numPr>
          <w:ilvl w:val="1"/>
          <w:numId w:val="8"/>
        </w:numPr>
        <w:tabs>
          <w:tab w:pos="1072" w:val="left" w:leader="none"/>
        </w:tabs>
        <w:spacing w:line="491" w:lineRule="auto" w:before="0" w:after="0"/>
        <w:ind w:left="400" w:right="2194" w:firstLine="6"/>
        <w:jc w:val="both"/>
        <w:rPr>
          <w:sz w:val="22"/>
        </w:rPr>
      </w:pPr>
      <w:r>
        <w:rPr>
          <w:b/>
          <w:w w:val="105"/>
          <w:sz w:val="22"/>
        </w:rPr>
        <w:t>L’andamento</w:t>
      </w:r>
      <w:r>
        <w:rPr>
          <w:b/>
          <w:spacing w:val="-30"/>
          <w:w w:val="105"/>
          <w:sz w:val="22"/>
        </w:rPr>
        <w:t> </w:t>
      </w:r>
      <w:r>
        <w:rPr>
          <w:b/>
          <w:w w:val="105"/>
          <w:sz w:val="22"/>
        </w:rPr>
        <w:t>economico-patrimoniale</w:t>
      </w:r>
      <w:r>
        <w:rPr>
          <w:b/>
          <w:spacing w:val="-30"/>
          <w:w w:val="105"/>
          <w:sz w:val="22"/>
        </w:rPr>
        <w:t> </w:t>
      </w:r>
      <w:r>
        <w:rPr>
          <w:b/>
          <w:w w:val="105"/>
          <w:sz w:val="22"/>
        </w:rPr>
        <w:t>per</w:t>
      </w:r>
      <w:r>
        <w:rPr>
          <w:b/>
          <w:spacing w:val="-30"/>
          <w:w w:val="105"/>
          <w:sz w:val="22"/>
        </w:rPr>
        <w:t> </w:t>
      </w:r>
      <w:r>
        <w:rPr>
          <w:b/>
          <w:w w:val="105"/>
          <w:sz w:val="22"/>
        </w:rPr>
        <w:t>gli</w:t>
      </w:r>
      <w:r>
        <w:rPr>
          <w:b/>
          <w:spacing w:val="-30"/>
          <w:w w:val="105"/>
          <w:sz w:val="22"/>
        </w:rPr>
        <w:t> </w:t>
      </w:r>
      <w:r>
        <w:rPr>
          <w:b/>
          <w:w w:val="105"/>
          <w:sz w:val="22"/>
        </w:rPr>
        <w:t>esercizi</w:t>
      </w:r>
      <w:r>
        <w:rPr>
          <w:b/>
          <w:spacing w:val="-30"/>
          <w:w w:val="105"/>
          <w:sz w:val="22"/>
        </w:rPr>
        <w:t> </w:t>
      </w:r>
      <w:r>
        <w:rPr>
          <w:b/>
          <w:w w:val="105"/>
          <w:sz w:val="22"/>
        </w:rPr>
        <w:t>2011-2016 </w:t>
      </w:r>
      <w:r>
        <w:rPr>
          <w:w w:val="105"/>
          <w:sz w:val="22"/>
        </w:rPr>
        <w:t>Nelle tabelle di seguito esposte, si riporta l’andamento economico- patrimoniale di Biochemtex per gli esercizi 2011-2016, nonché il dettaglio dei rapporti economici con le altre società del Gruppo ed i soci per il medesimo</w:t>
      </w:r>
      <w:r>
        <w:rPr>
          <w:spacing w:val="-21"/>
          <w:w w:val="105"/>
          <w:sz w:val="22"/>
        </w:rPr>
        <w:t> </w:t>
      </w:r>
      <w:r>
        <w:rPr>
          <w:w w:val="105"/>
          <w:sz w:val="22"/>
        </w:rPr>
        <w:t>intervallo</w:t>
      </w:r>
      <w:r>
        <w:rPr>
          <w:spacing w:val="-23"/>
          <w:w w:val="105"/>
          <w:sz w:val="22"/>
        </w:rPr>
        <w:t> </w:t>
      </w:r>
      <w:r>
        <w:rPr>
          <w:w w:val="105"/>
          <w:sz w:val="22"/>
        </w:rPr>
        <w:t>temporale,</w:t>
      </w:r>
      <w:r>
        <w:rPr>
          <w:spacing w:val="-21"/>
          <w:w w:val="105"/>
          <w:sz w:val="22"/>
        </w:rPr>
        <w:t> </w:t>
      </w:r>
      <w:r>
        <w:rPr>
          <w:w w:val="105"/>
          <w:sz w:val="22"/>
        </w:rPr>
        <w:t>così</w:t>
      </w:r>
      <w:r>
        <w:rPr>
          <w:spacing w:val="-21"/>
          <w:w w:val="105"/>
          <w:sz w:val="22"/>
        </w:rPr>
        <w:t> </w:t>
      </w:r>
      <w:r>
        <w:rPr>
          <w:w w:val="105"/>
          <w:sz w:val="22"/>
        </w:rPr>
        <w:t>come</w:t>
      </w:r>
      <w:r>
        <w:rPr>
          <w:spacing w:val="-22"/>
          <w:w w:val="105"/>
          <w:sz w:val="22"/>
        </w:rPr>
        <w:t> </w:t>
      </w:r>
      <w:r>
        <w:rPr>
          <w:w w:val="105"/>
          <w:sz w:val="22"/>
        </w:rPr>
        <w:t>emerge</w:t>
      </w:r>
      <w:r>
        <w:rPr>
          <w:spacing w:val="-21"/>
          <w:w w:val="105"/>
          <w:sz w:val="22"/>
        </w:rPr>
        <w:t> </w:t>
      </w:r>
      <w:r>
        <w:rPr>
          <w:w w:val="105"/>
          <w:sz w:val="22"/>
        </w:rPr>
        <w:t>dalla</w:t>
      </w:r>
      <w:r>
        <w:rPr>
          <w:spacing w:val="-21"/>
          <w:w w:val="105"/>
          <w:sz w:val="22"/>
        </w:rPr>
        <w:t> </w:t>
      </w:r>
      <w:r>
        <w:rPr>
          <w:w w:val="105"/>
          <w:sz w:val="22"/>
        </w:rPr>
        <w:t>lettura</w:t>
      </w:r>
      <w:r>
        <w:rPr>
          <w:spacing w:val="-21"/>
          <w:w w:val="105"/>
          <w:sz w:val="22"/>
        </w:rPr>
        <w:t> </w:t>
      </w:r>
      <w:r>
        <w:rPr>
          <w:w w:val="105"/>
          <w:sz w:val="22"/>
        </w:rPr>
        <w:t>dei</w:t>
      </w:r>
      <w:r>
        <w:rPr>
          <w:spacing w:val="-21"/>
          <w:w w:val="105"/>
          <w:sz w:val="22"/>
        </w:rPr>
        <w:t> </w:t>
      </w:r>
      <w:r>
        <w:rPr>
          <w:w w:val="105"/>
          <w:sz w:val="22"/>
        </w:rPr>
        <w:t>bilanci:</w:t>
      </w:r>
    </w:p>
    <w:p>
      <w:pPr>
        <w:pStyle w:val="Heading2"/>
        <w:ind w:left="475" w:right="2273"/>
      </w:pPr>
      <w:r>
        <w:rPr/>
        <w:pict>
          <v:shape style="position:absolute;margin-left:106.32pt;margin-top:25.501898pt;width:335.6pt;height:14.3pt;mso-position-horizontal-relative:page;mso-position-vertical-relative:paragraph;z-index:2128"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48"/>
                    <w:gridCol w:w="1666"/>
                    <w:gridCol w:w="728"/>
                    <w:gridCol w:w="728"/>
                    <w:gridCol w:w="728"/>
                    <w:gridCol w:w="692"/>
                    <w:gridCol w:w="620"/>
                  </w:tblGrid>
                  <w:tr>
                    <w:trPr>
                      <w:trHeight w:val="140" w:hRule="exact"/>
                    </w:trPr>
                    <w:tc>
                      <w:tcPr>
                        <w:tcW w:w="6712" w:type="dxa"/>
                        <w:gridSpan w:val="7"/>
                        <w:tcBorders>
                          <w:bottom w:val="nil"/>
                        </w:tcBorders>
                        <w:shd w:val="clear" w:color="auto" w:fill="888B8E"/>
                      </w:tcPr>
                      <w:p>
                        <w:pPr>
                          <w:pStyle w:val="TableParagraph"/>
                          <w:spacing w:before="14"/>
                          <w:ind w:left="16"/>
                          <w:rPr>
                            <w:b/>
                            <w:sz w:val="9"/>
                          </w:rPr>
                        </w:pPr>
                        <w:r>
                          <w:rPr>
                            <w:b/>
                            <w:color w:val="FFFFFF"/>
                            <w:w w:val="105"/>
                            <w:sz w:val="9"/>
                          </w:rPr>
                          <w:t>Conto Economico</w:t>
                        </w:r>
                      </w:p>
                    </w:tc>
                  </w:tr>
                  <w:tr>
                    <w:trPr>
                      <w:trHeight w:val="145" w:hRule="exact"/>
                    </w:trPr>
                    <w:tc>
                      <w:tcPr>
                        <w:tcW w:w="1548" w:type="dxa"/>
                        <w:tcBorders>
                          <w:top w:val="single" w:sz="13" w:space="0" w:color="FFFFFF"/>
                        </w:tcBorders>
                        <w:shd w:val="clear" w:color="auto" w:fill="A03033"/>
                      </w:tcPr>
                      <w:p>
                        <w:pPr>
                          <w:pStyle w:val="TableParagraph"/>
                          <w:spacing w:before="18"/>
                          <w:ind w:left="16"/>
                          <w:rPr>
                            <w:i/>
                            <w:sz w:val="9"/>
                          </w:rPr>
                        </w:pPr>
                        <w:r>
                          <w:rPr>
                            <w:i/>
                            <w:color w:val="FFFFFF"/>
                            <w:w w:val="105"/>
                            <w:sz w:val="9"/>
                          </w:rPr>
                          <w:t>(Euro/k)</w:t>
                        </w:r>
                      </w:p>
                    </w:tc>
                    <w:tc>
                      <w:tcPr>
                        <w:tcW w:w="1666" w:type="dxa"/>
                        <w:tcBorders>
                          <w:top w:val="single" w:sz="13" w:space="0" w:color="FFFFFF"/>
                        </w:tcBorders>
                        <w:shd w:val="clear" w:color="auto" w:fill="A03033"/>
                      </w:tcPr>
                      <w:p>
                        <w:pPr>
                          <w:pStyle w:val="TableParagraph"/>
                          <w:spacing w:before="20"/>
                          <w:ind w:right="260"/>
                          <w:jc w:val="right"/>
                          <w:rPr>
                            <w:b/>
                            <w:sz w:val="9"/>
                          </w:rPr>
                        </w:pPr>
                        <w:r>
                          <w:rPr>
                            <w:b/>
                            <w:color w:val="FFFFFF"/>
                            <w:w w:val="105"/>
                            <w:sz w:val="9"/>
                          </w:rPr>
                          <w:t>2011</w:t>
                        </w:r>
                      </w:p>
                    </w:tc>
                    <w:tc>
                      <w:tcPr>
                        <w:tcW w:w="728" w:type="dxa"/>
                        <w:tcBorders>
                          <w:top w:val="single" w:sz="13" w:space="0" w:color="FFFFFF"/>
                        </w:tcBorders>
                        <w:shd w:val="clear" w:color="auto" w:fill="A03033"/>
                      </w:tcPr>
                      <w:p>
                        <w:pPr>
                          <w:pStyle w:val="TableParagraph"/>
                          <w:spacing w:before="20"/>
                          <w:ind w:left="250" w:right="248"/>
                          <w:jc w:val="center"/>
                          <w:rPr>
                            <w:b/>
                            <w:sz w:val="9"/>
                          </w:rPr>
                        </w:pPr>
                        <w:r>
                          <w:rPr>
                            <w:b/>
                            <w:color w:val="FFFFFF"/>
                            <w:w w:val="105"/>
                            <w:sz w:val="9"/>
                          </w:rPr>
                          <w:t>2012</w:t>
                        </w:r>
                      </w:p>
                    </w:tc>
                    <w:tc>
                      <w:tcPr>
                        <w:tcW w:w="728" w:type="dxa"/>
                        <w:tcBorders>
                          <w:top w:val="single" w:sz="13" w:space="0" w:color="FFFFFF"/>
                        </w:tcBorders>
                        <w:shd w:val="clear" w:color="auto" w:fill="A03033"/>
                      </w:tcPr>
                      <w:p>
                        <w:pPr>
                          <w:pStyle w:val="TableParagraph"/>
                          <w:spacing w:before="20"/>
                          <w:ind w:left="250" w:right="248"/>
                          <w:jc w:val="center"/>
                          <w:rPr>
                            <w:b/>
                            <w:sz w:val="9"/>
                          </w:rPr>
                        </w:pPr>
                        <w:r>
                          <w:rPr>
                            <w:b/>
                            <w:color w:val="FFFFFF"/>
                            <w:w w:val="105"/>
                            <w:sz w:val="9"/>
                          </w:rPr>
                          <w:t>2013</w:t>
                        </w:r>
                      </w:p>
                    </w:tc>
                    <w:tc>
                      <w:tcPr>
                        <w:tcW w:w="728" w:type="dxa"/>
                        <w:tcBorders>
                          <w:top w:val="single" w:sz="13" w:space="0" w:color="FFFFFF"/>
                        </w:tcBorders>
                        <w:shd w:val="clear" w:color="auto" w:fill="A03033"/>
                      </w:tcPr>
                      <w:p>
                        <w:pPr>
                          <w:pStyle w:val="TableParagraph"/>
                          <w:spacing w:before="20"/>
                          <w:ind w:left="250" w:right="248"/>
                          <w:jc w:val="center"/>
                          <w:rPr>
                            <w:b/>
                            <w:sz w:val="9"/>
                          </w:rPr>
                        </w:pPr>
                        <w:r>
                          <w:rPr>
                            <w:b/>
                            <w:color w:val="FFFFFF"/>
                            <w:w w:val="105"/>
                            <w:sz w:val="9"/>
                          </w:rPr>
                          <w:t>2014</w:t>
                        </w:r>
                      </w:p>
                    </w:tc>
                    <w:tc>
                      <w:tcPr>
                        <w:tcW w:w="692" w:type="dxa"/>
                        <w:tcBorders>
                          <w:top w:val="single" w:sz="13" w:space="0" w:color="FFFFFF"/>
                        </w:tcBorders>
                        <w:shd w:val="clear" w:color="auto" w:fill="A03033"/>
                      </w:tcPr>
                      <w:p>
                        <w:pPr>
                          <w:pStyle w:val="TableParagraph"/>
                          <w:spacing w:before="20"/>
                          <w:ind w:left="264"/>
                          <w:rPr>
                            <w:b/>
                            <w:sz w:val="9"/>
                          </w:rPr>
                        </w:pPr>
                        <w:r>
                          <w:rPr>
                            <w:b/>
                            <w:color w:val="FFFFFF"/>
                            <w:w w:val="105"/>
                            <w:sz w:val="9"/>
                          </w:rPr>
                          <w:t>2015</w:t>
                        </w:r>
                      </w:p>
                    </w:tc>
                    <w:tc>
                      <w:tcPr>
                        <w:tcW w:w="620" w:type="dxa"/>
                        <w:tcBorders>
                          <w:top w:val="single" w:sz="13" w:space="0" w:color="FFFFFF"/>
                        </w:tcBorders>
                        <w:shd w:val="clear" w:color="auto" w:fill="A03033"/>
                      </w:tcPr>
                      <w:p>
                        <w:pPr>
                          <w:pStyle w:val="TableParagraph"/>
                          <w:spacing w:before="20"/>
                          <w:ind w:left="228"/>
                          <w:rPr>
                            <w:b/>
                            <w:sz w:val="9"/>
                          </w:rPr>
                        </w:pPr>
                        <w:r>
                          <w:rPr>
                            <w:b/>
                            <w:color w:val="FFFFFF"/>
                            <w:w w:val="105"/>
                            <w:sz w:val="9"/>
                          </w:rPr>
                          <w:t>2016</w:t>
                        </w:r>
                      </w:p>
                    </w:tc>
                  </w:tr>
                </w:tbl>
                <w:p>
                  <w:pPr>
                    <w:pStyle w:val="BodyText"/>
                  </w:pPr>
                </w:p>
              </w:txbxContent>
            </v:textbox>
            <w10:wrap type="none"/>
          </v:shape>
        </w:pict>
      </w:r>
      <w:r>
        <w:rPr>
          <w:w w:val="105"/>
        </w:rPr>
        <w:t>Andamento economico e patrimoniale 2011 - 2016</w:t>
      </w:r>
    </w:p>
    <w:p>
      <w:pPr>
        <w:tabs>
          <w:tab w:pos="3324" w:val="left" w:leader="none"/>
          <w:tab w:pos="4002" w:val="left" w:leader="none"/>
          <w:tab w:pos="4781" w:val="left" w:leader="none"/>
          <w:tab w:pos="5510" w:val="left" w:leader="none"/>
          <w:tab w:pos="6238" w:val="left" w:leader="none"/>
          <w:tab w:pos="7095" w:val="right" w:leader="none"/>
        </w:tabs>
        <w:spacing w:before="599"/>
        <w:ind w:left="423" w:right="0" w:firstLine="0"/>
        <w:jc w:val="left"/>
        <w:rPr>
          <w:rFonts w:ascii="Times New Roman"/>
          <w:sz w:val="9"/>
        </w:rPr>
      </w:pPr>
      <w:r>
        <w:rPr>
          <w:rFonts w:ascii="Times New Roman"/>
          <w:w w:val="105"/>
          <w:sz w:val="9"/>
        </w:rPr>
        <w:t>Ricavi</w:t>
        <w:tab/>
        <w:t>76.564</w:t>
        <w:tab/>
        <w:t>195.111</w:t>
        <w:tab/>
        <w:t>81.820</w:t>
        <w:tab/>
        <w:t>69.440</w:t>
        <w:tab/>
        <w:t>46.169</w:t>
        <w:tab/>
        <w:t>94.232</w:t>
      </w:r>
    </w:p>
    <w:p>
      <w:pPr>
        <w:tabs>
          <w:tab w:pos="2887" w:val="left" w:leader="none"/>
          <w:tab w:pos="3448" w:val="left" w:leader="none"/>
          <w:tab w:pos="4104" w:val="left" w:leader="none"/>
          <w:tab w:pos="4731" w:val="left" w:leader="none"/>
          <w:tab w:pos="5560" w:val="left" w:leader="none"/>
          <w:tab w:pos="6238" w:val="left" w:leader="none"/>
          <w:tab w:pos="6872" w:val="left" w:leader="none"/>
        </w:tabs>
        <w:spacing w:before="20"/>
        <w:ind w:left="423" w:right="0" w:firstLine="0"/>
        <w:jc w:val="both"/>
        <w:rPr>
          <w:rFonts w:ascii="Times New Roman"/>
          <w:sz w:val="9"/>
        </w:rPr>
      </w:pPr>
      <w:r>
        <w:rPr>
          <w:rFonts w:ascii="Times New Roman"/>
          <w:w w:val="105"/>
          <w:sz w:val="9"/>
        </w:rPr>
        <w:t>Altri</w:t>
      </w:r>
      <w:r>
        <w:rPr>
          <w:rFonts w:ascii="Times New Roman"/>
          <w:spacing w:val="-4"/>
          <w:w w:val="105"/>
          <w:sz w:val="9"/>
        </w:rPr>
        <w:t> </w:t>
      </w:r>
      <w:r>
        <w:rPr>
          <w:rFonts w:ascii="Times New Roman"/>
          <w:w w:val="105"/>
          <w:sz w:val="9"/>
        </w:rPr>
        <w:t>ricavi</w:t>
      </w:r>
      <w:r>
        <w:rPr>
          <w:rFonts w:ascii="Times New Roman"/>
          <w:spacing w:val="-4"/>
          <w:w w:val="105"/>
          <w:sz w:val="9"/>
        </w:rPr>
        <w:t> </w:t>
      </w:r>
      <w:r>
        <w:rPr>
          <w:rFonts w:ascii="Times New Roman"/>
          <w:w w:val="105"/>
          <w:sz w:val="9"/>
        </w:rPr>
        <w:t>operativi</w:t>
        <w:tab/>
      </w:r>
      <w:r>
        <w:rPr>
          <w:rFonts w:ascii="Times New Roman"/>
          <w:w w:val="105"/>
          <w:sz w:val="9"/>
          <w:u w:val="single"/>
        </w:rPr>
        <w:t> </w:t>
        <w:tab/>
        <w:t>986</w:t>
        <w:tab/>
        <w:t>3.761</w:t>
        <w:tab/>
        <w:t>109.601</w:t>
        <w:tab/>
        <w:t>5.288</w:t>
        <w:tab/>
        <w:t>11.546</w:t>
        <w:tab/>
        <w:t>8.711</w:t>
      </w:r>
      <w:r>
        <w:rPr>
          <w:rFonts w:ascii="Times New Roman"/>
          <w:spacing w:val="2"/>
          <w:sz w:val="9"/>
          <w:u w:val="single"/>
        </w:rPr>
        <w:t> </w:t>
      </w:r>
    </w:p>
    <w:p>
      <w:pPr>
        <w:tabs>
          <w:tab w:pos="3324" w:val="left" w:leader="none"/>
          <w:tab w:pos="4002" w:val="left" w:leader="none"/>
          <w:tab w:pos="4731" w:val="left" w:leader="none"/>
          <w:tab w:pos="5510" w:val="left" w:leader="none"/>
          <w:tab w:pos="6238" w:val="left" w:leader="none"/>
          <w:tab w:pos="7095" w:val="right" w:leader="none"/>
        </w:tabs>
        <w:spacing w:before="22"/>
        <w:ind w:left="423" w:right="0" w:firstLine="0"/>
        <w:jc w:val="left"/>
        <w:rPr>
          <w:rFonts w:ascii="Times New Roman"/>
          <w:b/>
          <w:sz w:val="9"/>
        </w:rPr>
      </w:pPr>
      <w:r>
        <w:rPr>
          <w:rFonts w:ascii="Times New Roman"/>
          <w:b/>
          <w:w w:val="105"/>
          <w:sz w:val="9"/>
        </w:rPr>
        <w:t>Totale</w:t>
      </w:r>
      <w:r>
        <w:rPr>
          <w:rFonts w:ascii="Times New Roman"/>
          <w:b/>
          <w:spacing w:val="2"/>
          <w:w w:val="105"/>
          <w:sz w:val="9"/>
        </w:rPr>
        <w:t> </w:t>
      </w:r>
      <w:r>
        <w:rPr>
          <w:rFonts w:ascii="Times New Roman"/>
          <w:b/>
          <w:w w:val="105"/>
          <w:sz w:val="9"/>
        </w:rPr>
        <w:t>Ricavi</w:t>
        <w:tab/>
        <w:t>77.550</w:t>
        <w:tab/>
        <w:t>198.872</w:t>
        <w:tab/>
        <w:t>191.421</w:t>
        <w:tab/>
        <w:t>74.728</w:t>
        <w:tab/>
        <w:t>57.715</w:t>
        <w:tab/>
        <w:t>102.943</w:t>
      </w:r>
    </w:p>
    <w:p>
      <w:pPr>
        <w:tabs>
          <w:tab w:pos="3258" w:val="left" w:leader="none"/>
          <w:tab w:pos="3986" w:val="left" w:leader="none"/>
          <w:tab w:pos="4715" w:val="left" w:leader="none"/>
          <w:tab w:pos="5443" w:val="left" w:leader="none"/>
          <w:tab w:pos="6171" w:val="left" w:leader="none"/>
          <w:tab w:pos="6754" w:val="left" w:leader="none"/>
        </w:tabs>
        <w:spacing w:before="57"/>
        <w:ind w:left="423" w:right="0" w:firstLine="0"/>
        <w:jc w:val="both"/>
        <w:rPr>
          <w:rFonts w:ascii="Times New Roman"/>
          <w:sz w:val="9"/>
        </w:rPr>
      </w:pPr>
      <w:r>
        <w:rPr>
          <w:rFonts w:ascii="Times New Roman"/>
          <w:w w:val="105"/>
          <w:sz w:val="9"/>
        </w:rPr>
        <w:t>Consumi di</w:t>
      </w:r>
      <w:r>
        <w:rPr>
          <w:rFonts w:ascii="Times New Roman"/>
          <w:spacing w:val="-3"/>
          <w:w w:val="105"/>
          <w:sz w:val="9"/>
        </w:rPr>
        <w:t> </w:t>
      </w:r>
      <w:r>
        <w:rPr>
          <w:rFonts w:ascii="Times New Roman"/>
          <w:w w:val="105"/>
          <w:sz w:val="9"/>
        </w:rPr>
        <w:t>materie</w:t>
      </w:r>
      <w:r>
        <w:rPr>
          <w:rFonts w:ascii="Times New Roman"/>
          <w:spacing w:val="-1"/>
          <w:w w:val="105"/>
          <w:sz w:val="9"/>
        </w:rPr>
        <w:t> </w:t>
      </w:r>
      <w:r>
        <w:rPr>
          <w:rFonts w:ascii="Times New Roman"/>
          <w:w w:val="105"/>
          <w:sz w:val="9"/>
        </w:rPr>
        <w:t>prime</w:t>
        <w:tab/>
        <w:t>(38.753)</w:t>
        <w:tab/>
        <w:t>(98.060)</w:t>
        <w:tab/>
        <w:t>(39.635)</w:t>
        <w:tab/>
        <w:t>(21.275)</w:t>
        <w:tab/>
        <w:t>(15.225)</w:t>
        <w:tab/>
        <w:t>(68.204)</w:t>
      </w:r>
    </w:p>
    <w:p>
      <w:pPr>
        <w:tabs>
          <w:tab w:pos="3308" w:val="left" w:leader="none"/>
          <w:tab w:pos="4036" w:val="left" w:leader="none"/>
          <w:tab w:pos="4714" w:val="left" w:leader="none"/>
          <w:tab w:pos="5443" w:val="left" w:leader="none"/>
          <w:tab w:pos="6221" w:val="left" w:leader="none"/>
          <w:tab w:pos="6805" w:val="left" w:leader="none"/>
        </w:tabs>
        <w:spacing w:before="19"/>
        <w:ind w:left="423" w:right="0" w:firstLine="0"/>
        <w:jc w:val="both"/>
        <w:rPr>
          <w:rFonts w:ascii="Times New Roman"/>
          <w:sz w:val="9"/>
        </w:rPr>
      </w:pPr>
      <w:r>
        <w:rPr>
          <w:rFonts w:ascii="Times New Roman"/>
          <w:w w:val="105"/>
          <w:sz w:val="9"/>
        </w:rPr>
        <w:t>Costi</w:t>
      </w:r>
      <w:r>
        <w:rPr>
          <w:rFonts w:ascii="Times New Roman"/>
          <w:spacing w:val="1"/>
          <w:w w:val="105"/>
          <w:sz w:val="9"/>
        </w:rPr>
        <w:t> </w:t>
      </w:r>
      <w:r>
        <w:rPr>
          <w:rFonts w:ascii="Times New Roman"/>
          <w:w w:val="105"/>
          <w:sz w:val="9"/>
        </w:rPr>
        <w:t>del</w:t>
      </w:r>
      <w:r>
        <w:rPr>
          <w:rFonts w:ascii="Times New Roman"/>
          <w:spacing w:val="1"/>
          <w:w w:val="105"/>
          <w:sz w:val="9"/>
        </w:rPr>
        <w:t> </w:t>
      </w:r>
      <w:r>
        <w:rPr>
          <w:rFonts w:ascii="Times New Roman"/>
          <w:w w:val="105"/>
          <w:sz w:val="9"/>
        </w:rPr>
        <w:t>personale</w:t>
        <w:tab/>
        <w:t>(6.671)</w:t>
        <w:tab/>
        <w:t>(9.558)</w:t>
        <w:tab/>
        <w:t>(12.288)</w:t>
        <w:tab/>
        <w:t>(12.372)</w:t>
        <w:tab/>
        <w:t>(8.135)</w:t>
        <w:tab/>
        <w:t>(5.863)</w:t>
      </w:r>
    </w:p>
    <w:p>
      <w:pPr>
        <w:tabs>
          <w:tab w:pos="2887" w:val="left" w:leader="none"/>
          <w:tab w:pos="3258" w:val="left" w:leader="none"/>
          <w:tab w:pos="3986" w:val="left" w:leader="none"/>
          <w:tab w:pos="4715" w:val="left" w:leader="none"/>
          <w:tab w:pos="5443" w:val="left" w:leader="none"/>
          <w:tab w:pos="6221" w:val="left" w:leader="none"/>
          <w:tab w:pos="6804" w:val="left" w:leader="none"/>
        </w:tabs>
        <w:spacing w:before="20"/>
        <w:ind w:left="423" w:right="0" w:firstLine="0"/>
        <w:jc w:val="both"/>
        <w:rPr>
          <w:rFonts w:ascii="Times New Roman"/>
          <w:sz w:val="9"/>
        </w:rPr>
      </w:pPr>
      <w:r>
        <w:rPr>
          <w:rFonts w:ascii="Times New Roman"/>
          <w:w w:val="105"/>
          <w:sz w:val="9"/>
        </w:rPr>
        <w:t>Altri costi operativi</w:t>
        <w:tab/>
      </w:r>
      <w:r>
        <w:rPr>
          <w:rFonts w:ascii="Times New Roman"/>
          <w:w w:val="105"/>
          <w:sz w:val="9"/>
          <w:u w:val="single"/>
        </w:rPr>
        <w:t> </w:t>
        <w:tab/>
        <w:t>(24.145)</w:t>
        <w:tab/>
        <w:t>(78.154)</w:t>
        <w:tab/>
        <w:t>(54.737)</w:t>
        <w:tab/>
        <w:t>(12.537)</w:t>
        <w:tab/>
        <w:t>(6.777)</w:t>
        <w:tab/>
        <w:t>(6.758)</w:t>
      </w:r>
      <w:r>
        <w:rPr>
          <w:rFonts w:ascii="Times New Roman"/>
          <w:spacing w:val="2"/>
          <w:sz w:val="9"/>
          <w:u w:val="single"/>
        </w:rPr>
        <w:t> </w:t>
      </w:r>
    </w:p>
    <w:p>
      <w:pPr>
        <w:tabs>
          <w:tab w:pos="3257" w:val="left" w:leader="none"/>
          <w:tab w:pos="3935" w:val="left" w:leader="none"/>
          <w:tab w:pos="4664" w:val="left" w:leader="none"/>
          <w:tab w:pos="5442" w:val="left" w:leader="none"/>
          <w:tab w:pos="6171" w:val="left" w:leader="none"/>
          <w:tab w:pos="6754" w:val="left" w:leader="none"/>
        </w:tabs>
        <w:spacing w:before="22"/>
        <w:ind w:left="423" w:right="0" w:firstLine="0"/>
        <w:jc w:val="both"/>
        <w:rPr>
          <w:rFonts w:ascii="Times New Roman"/>
          <w:b/>
          <w:sz w:val="9"/>
        </w:rPr>
      </w:pPr>
      <w:r>
        <w:rPr/>
        <w:pict>
          <v:group style="position:absolute;margin-left:106.32pt;margin-top:8.240788pt;width:335.6pt;height:6.45pt;mso-position-horizontal-relative:page;mso-position-vertical-relative:paragraph;z-index:1312;mso-wrap-distance-left:0;mso-wrap-distance-right:0" coordorigin="2126,165" coordsize="6712,129">
            <v:rect style="position:absolute;left:2126;top:165;width:6712;height:128" filled="true" fillcolor="#888b8e" stroked="false">
              <v:fill type="solid"/>
            </v:rect>
            <v:shape style="position:absolute;left:2143;top:184;width:37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EBITDA</w:t>
                    </w:r>
                  </w:p>
                </w:txbxContent>
              </v:textbox>
              <w10:wrap type="none"/>
            </v:shape>
            <v:shape style="position:absolute;left:5095;top:184;width:24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7.980</w:t>
                    </w:r>
                  </w:p>
                </w:txbxContent>
              </v:textbox>
              <w10:wrap type="none"/>
            </v:shape>
            <v:shape style="position:absolute;left:5773;top:184;width:29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13.099</w:t>
                    </w:r>
                  </w:p>
                </w:txbxContent>
              </v:textbox>
              <w10:wrap type="none"/>
            </v:shape>
            <v:shape style="position:absolute;left:6501;top:184;width:29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84.761</w:t>
                    </w:r>
                  </w:p>
                </w:txbxContent>
              </v:textbox>
              <w10:wrap type="none"/>
            </v:shape>
            <v:shape style="position:absolute;left:7230;top:184;width:29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28.543</w:t>
                    </w:r>
                  </w:p>
                </w:txbxContent>
              </v:textbox>
              <w10:wrap type="none"/>
            </v:shape>
            <v:shape style="position:absolute;left:7958;top:184;width:29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27.579</w:t>
                    </w:r>
                  </w:p>
                </w:txbxContent>
              </v:textbox>
              <w10:wrap type="none"/>
            </v:shape>
            <v:shape style="position:absolute;left:8541;top:184;width:294;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22.118</w:t>
                    </w:r>
                  </w:p>
                </w:txbxContent>
              </v:textbox>
              <w10:wrap type="none"/>
            </v:shape>
            <w10:wrap type="topAndBottom"/>
          </v:group>
        </w:pict>
      </w:r>
      <w:r>
        <w:rPr>
          <w:rFonts w:ascii="Times New Roman"/>
          <w:b/>
          <w:w w:val="105"/>
          <w:sz w:val="9"/>
        </w:rPr>
        <w:t>Totale</w:t>
      </w:r>
      <w:r>
        <w:rPr>
          <w:rFonts w:ascii="Times New Roman"/>
          <w:b/>
          <w:spacing w:val="3"/>
          <w:w w:val="105"/>
          <w:sz w:val="9"/>
        </w:rPr>
        <w:t> </w:t>
      </w:r>
      <w:r>
        <w:rPr>
          <w:rFonts w:ascii="Times New Roman"/>
          <w:b/>
          <w:w w:val="105"/>
          <w:sz w:val="9"/>
        </w:rPr>
        <w:t>costi</w:t>
        <w:tab/>
        <w:t>(69.570)</w:t>
        <w:tab/>
        <w:t>(185.772)</w:t>
        <w:tab/>
        <w:t>(106.661)</w:t>
        <w:tab/>
        <w:t>(46.185)</w:t>
        <w:tab/>
        <w:t>(30.137)</w:t>
        <w:tab/>
        <w:t>(80.825)</w:t>
      </w:r>
    </w:p>
    <w:p>
      <w:pPr>
        <w:tabs>
          <w:tab w:pos="3307" w:val="left" w:leader="none"/>
          <w:tab w:pos="4036" w:val="left" w:leader="none"/>
          <w:tab w:pos="4714" w:val="left" w:leader="none"/>
          <w:tab w:pos="5442" w:val="left" w:leader="none"/>
          <w:tab w:pos="6170" w:val="left" w:leader="none"/>
          <w:tab w:pos="6754" w:val="left" w:leader="none"/>
        </w:tabs>
        <w:spacing w:before="22" w:after="41"/>
        <w:ind w:left="423" w:right="0" w:firstLine="0"/>
        <w:jc w:val="left"/>
        <w:rPr>
          <w:rFonts w:ascii="Times New Roman"/>
          <w:sz w:val="9"/>
        </w:rPr>
      </w:pPr>
      <w:r>
        <w:rPr>
          <w:rFonts w:ascii="Times New Roman"/>
          <w:w w:val="105"/>
          <w:sz w:val="9"/>
        </w:rPr>
        <w:t>Ammortamenti</w:t>
      </w:r>
      <w:r>
        <w:rPr>
          <w:rFonts w:ascii="Times New Roman"/>
          <w:spacing w:val="-6"/>
          <w:w w:val="105"/>
          <w:sz w:val="9"/>
        </w:rPr>
        <w:t> </w:t>
      </w:r>
      <w:r>
        <w:rPr>
          <w:rFonts w:ascii="Times New Roman"/>
          <w:w w:val="105"/>
          <w:sz w:val="9"/>
        </w:rPr>
        <w:t>e</w:t>
      </w:r>
      <w:r>
        <w:rPr>
          <w:rFonts w:ascii="Times New Roman"/>
          <w:spacing w:val="-5"/>
          <w:w w:val="105"/>
          <w:sz w:val="9"/>
        </w:rPr>
        <w:t> </w:t>
      </w:r>
      <w:r>
        <w:rPr>
          <w:rFonts w:ascii="Times New Roman"/>
          <w:w w:val="105"/>
          <w:sz w:val="9"/>
        </w:rPr>
        <w:t>svalutazioni</w:t>
        <w:tab/>
        <w:t>(2.780)</w:t>
        <w:tab/>
        <w:t>(3.644)</w:t>
        <w:tab/>
        <w:t>(12.880)</w:t>
        <w:tab/>
        <w:t>(17.917)</w:t>
        <w:tab/>
        <w:t>(14.429)</w:t>
        <w:tab/>
        <w:t>(13.787)</w:t>
      </w:r>
    </w:p>
    <w:p>
      <w:pPr>
        <w:pStyle w:val="BodyText"/>
        <w:spacing w:line="128" w:lineRule="exact"/>
        <w:ind w:left="406"/>
        <w:rPr>
          <w:rFonts w:ascii="Times New Roman"/>
          <w:sz w:val="12"/>
        </w:rPr>
      </w:pPr>
      <w:r>
        <w:rPr>
          <w:rFonts w:ascii="Times New Roman"/>
          <w:position w:val="-2"/>
          <w:sz w:val="12"/>
        </w:rPr>
        <w:pict>
          <v:group style="width:335.6pt;height:6.45pt;mso-position-horizontal-relative:char;mso-position-vertical-relative:line" coordorigin="0,0" coordsize="6712,129">
            <v:rect style="position:absolute;left:0;top:0;width:6712;height:128" filled="true" fillcolor="#888b8e" stroked="false">
              <v:fill type="solid"/>
            </v:rect>
            <v:shape style="position:absolute;left:17;top:19;width:246;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EBIT</w:t>
                    </w:r>
                  </w:p>
                </w:txbxContent>
              </v:textbox>
              <w10:wrap type="none"/>
            </v:shape>
            <v:shape style="position:absolute;left:2969;top:19;width:24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5.200</w:t>
                    </w:r>
                  </w:p>
                </w:txbxContent>
              </v:textbox>
              <w10:wrap type="none"/>
            </v:shape>
            <v:shape style="position:absolute;left:3697;top:19;width:24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9.456</w:t>
                    </w:r>
                  </w:p>
                </w:txbxContent>
              </v:textbox>
              <w10:wrap type="none"/>
            </v:shape>
            <v:shape style="position:absolute;left:4375;top:19;width:29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71.880</w:t>
                    </w:r>
                  </w:p>
                </w:txbxContent>
              </v:textbox>
              <w10:wrap type="none"/>
            </v:shape>
            <v:shape style="position:absolute;left:5103;top:19;width:29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10.627</w:t>
                    </w:r>
                  </w:p>
                </w:txbxContent>
              </v:textbox>
              <w10:wrap type="none"/>
            </v:shape>
            <v:shape style="position:absolute;left:5832;top:19;width:29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13.150</w:t>
                    </w:r>
                  </w:p>
                </w:txbxContent>
              </v:textbox>
              <w10:wrap type="none"/>
            </v:shape>
            <v:shape style="position:absolute;left:6465;top:19;width:244;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8.331</w:t>
                    </w:r>
                  </w:p>
                </w:txbxContent>
              </v:textbox>
              <w10:wrap type="none"/>
            </v:shape>
          </v:group>
        </w:pict>
      </w:r>
      <w:r>
        <w:rPr>
          <w:rFonts w:ascii="Times New Roman"/>
          <w:position w:val="-2"/>
          <w:sz w:val="12"/>
        </w:rPr>
      </w:r>
    </w:p>
    <w:p>
      <w:pPr>
        <w:tabs>
          <w:tab w:pos="2887" w:val="left" w:leader="none"/>
          <w:tab w:pos="3375" w:val="left" w:leader="none"/>
          <w:tab w:pos="4103" w:val="left" w:leader="none"/>
          <w:tab w:pos="4831" w:val="left" w:leader="none"/>
          <w:tab w:pos="5560" w:val="left" w:leader="none"/>
          <w:tab w:pos="6288" w:val="left" w:leader="none"/>
          <w:tab w:pos="6871" w:val="left" w:leader="none"/>
        </w:tabs>
        <w:spacing w:before="52"/>
        <w:ind w:left="423" w:right="0" w:firstLine="0"/>
        <w:jc w:val="left"/>
        <w:rPr>
          <w:rFonts w:ascii="Times New Roman"/>
          <w:sz w:val="9"/>
        </w:rPr>
      </w:pPr>
      <w:r>
        <w:rPr>
          <w:rFonts w:ascii="Times New Roman"/>
          <w:w w:val="105"/>
          <w:sz w:val="9"/>
        </w:rPr>
        <w:t>Proventi</w:t>
      </w:r>
      <w:r>
        <w:rPr>
          <w:rFonts w:ascii="Times New Roman"/>
          <w:spacing w:val="-4"/>
          <w:w w:val="105"/>
          <w:sz w:val="9"/>
        </w:rPr>
        <w:t> </w:t>
      </w:r>
      <w:r>
        <w:rPr>
          <w:rFonts w:ascii="Times New Roman"/>
          <w:w w:val="105"/>
          <w:sz w:val="9"/>
        </w:rPr>
        <w:t>finanziari</w:t>
        <w:tab/>
      </w:r>
      <w:r>
        <w:rPr>
          <w:rFonts w:ascii="Times New Roman"/>
          <w:w w:val="105"/>
          <w:sz w:val="9"/>
          <w:u w:val="single"/>
        </w:rPr>
        <w:t> </w:t>
        <w:tab/>
        <w:t>4.278</w:t>
        <w:tab/>
        <w:t>3.480</w:t>
        <w:tab/>
        <w:t>5.268</w:t>
        <w:tab/>
        <w:t>4.102</w:t>
        <w:tab/>
        <w:t>3.418</w:t>
        <w:tab/>
        <w:t>2.260</w:t>
      </w:r>
      <w:r>
        <w:rPr>
          <w:rFonts w:ascii="Times New Roman"/>
          <w:spacing w:val="3"/>
          <w:sz w:val="9"/>
          <w:u w:val="single"/>
        </w:rPr>
        <w:t> </w:t>
      </w:r>
    </w:p>
    <w:p>
      <w:pPr>
        <w:tabs>
          <w:tab w:pos="3375" w:val="left" w:leader="none"/>
          <w:tab w:pos="4103" w:val="left" w:leader="none"/>
          <w:tab w:pos="4831" w:val="left" w:leader="none"/>
          <w:tab w:pos="5560" w:val="left" w:leader="none"/>
          <w:tab w:pos="6288" w:val="left" w:leader="none"/>
          <w:tab w:pos="7095" w:val="right" w:leader="none"/>
        </w:tabs>
        <w:spacing w:before="22"/>
        <w:ind w:left="423" w:right="0" w:firstLine="0"/>
        <w:jc w:val="left"/>
        <w:rPr>
          <w:rFonts w:ascii="Times New Roman"/>
          <w:b/>
          <w:sz w:val="9"/>
        </w:rPr>
      </w:pPr>
      <w:r>
        <w:rPr>
          <w:rFonts w:ascii="Times New Roman"/>
          <w:b/>
          <w:w w:val="105"/>
          <w:sz w:val="9"/>
        </w:rPr>
        <w:t>Totale Proventi</w:t>
      </w:r>
      <w:r>
        <w:rPr>
          <w:rFonts w:ascii="Times New Roman"/>
          <w:b/>
          <w:spacing w:val="5"/>
          <w:w w:val="105"/>
          <w:sz w:val="9"/>
        </w:rPr>
        <w:t> </w:t>
      </w:r>
      <w:r>
        <w:rPr>
          <w:rFonts w:ascii="Times New Roman"/>
          <w:b/>
          <w:w w:val="105"/>
          <w:sz w:val="9"/>
        </w:rPr>
        <w:t>finanziari</w:t>
        <w:tab/>
        <w:t>4.278</w:t>
        <w:tab/>
        <w:t>3.480</w:t>
        <w:tab/>
        <w:t>5.268</w:t>
        <w:tab/>
        <w:t>4.102</w:t>
        <w:tab/>
        <w:t>3.418</w:t>
        <w:tab/>
        <w:t>2.260</w:t>
      </w:r>
    </w:p>
    <w:p>
      <w:pPr>
        <w:tabs>
          <w:tab w:pos="2887" w:val="left" w:leader="none"/>
          <w:tab w:pos="3308" w:val="left" w:leader="none"/>
          <w:tab w:pos="4036" w:val="left" w:leader="none"/>
          <w:tab w:pos="4765" w:val="left" w:leader="none"/>
          <w:tab w:pos="5493" w:val="left" w:leader="none"/>
          <w:tab w:pos="6171" w:val="left" w:leader="none"/>
          <w:tab w:pos="6754" w:val="left" w:leader="none"/>
        </w:tabs>
        <w:spacing w:before="59"/>
        <w:ind w:left="423" w:right="0" w:firstLine="0"/>
        <w:jc w:val="left"/>
        <w:rPr>
          <w:rFonts w:ascii="Times New Roman"/>
          <w:b/>
          <w:sz w:val="9"/>
        </w:rPr>
      </w:pPr>
      <w:r>
        <w:rPr>
          <w:rFonts w:ascii="Times New Roman"/>
          <w:w w:val="105"/>
          <w:sz w:val="9"/>
        </w:rPr>
        <w:t>Oneri</w:t>
      </w:r>
      <w:r>
        <w:rPr>
          <w:rFonts w:ascii="Times New Roman"/>
          <w:spacing w:val="-4"/>
          <w:w w:val="105"/>
          <w:sz w:val="9"/>
        </w:rPr>
        <w:t> </w:t>
      </w:r>
      <w:r>
        <w:rPr>
          <w:rFonts w:ascii="Times New Roman"/>
          <w:w w:val="105"/>
          <w:sz w:val="9"/>
        </w:rPr>
        <w:t>finanziari</w:t>
        <w:tab/>
      </w:r>
      <w:r>
        <w:rPr>
          <w:rFonts w:ascii="Times New Roman"/>
          <w:w w:val="105"/>
          <w:sz w:val="9"/>
          <w:u w:val="single"/>
        </w:rPr>
        <w:t> </w:t>
        <w:tab/>
        <w:t>(6.030)</w:t>
        <w:tab/>
        <w:t>(6.664)</w:t>
        <w:tab/>
        <w:t>(7.398)</w:t>
        <w:tab/>
        <w:t>(7.674)</w:t>
        <w:tab/>
        <w:t>(10.782)</w:t>
        <w:tab/>
      </w:r>
      <w:r>
        <w:rPr>
          <w:rFonts w:ascii="Times New Roman"/>
          <w:b/>
          <w:w w:val="105"/>
          <w:sz w:val="9"/>
          <w:u w:val="single"/>
        </w:rPr>
        <w:t>(10.764)</w:t>
      </w:r>
      <w:r>
        <w:rPr>
          <w:rFonts w:ascii="Times New Roman"/>
          <w:b/>
          <w:spacing w:val="2"/>
          <w:sz w:val="9"/>
          <w:u w:val="single"/>
        </w:rPr>
        <w:t> </w:t>
      </w:r>
    </w:p>
    <w:p>
      <w:pPr>
        <w:tabs>
          <w:tab w:pos="3308" w:val="left" w:leader="none"/>
          <w:tab w:pos="4036" w:val="left" w:leader="none"/>
          <w:tab w:pos="4764" w:val="left" w:leader="none"/>
          <w:tab w:pos="5493" w:val="left" w:leader="none"/>
          <w:tab w:pos="6171" w:val="left" w:leader="none"/>
          <w:tab w:pos="6754" w:val="left" w:leader="none"/>
        </w:tabs>
        <w:spacing w:before="20"/>
        <w:ind w:left="423" w:right="0" w:firstLine="0"/>
        <w:jc w:val="left"/>
        <w:rPr>
          <w:rFonts w:ascii="Times New Roman"/>
          <w:b/>
          <w:sz w:val="9"/>
        </w:rPr>
      </w:pPr>
      <w:r>
        <w:rPr/>
        <w:pict>
          <v:group style="position:absolute;margin-left:106.32pt;margin-top:8.080291pt;width:335.6pt;height:6.5pt;mso-position-horizontal-relative:page;mso-position-vertical-relative:paragraph;z-index:1696" coordorigin="2126,162" coordsize="6712,130">
            <v:rect style="position:absolute;left:2126;top:162;width:6712;height:130" filled="true" fillcolor="#888b8e" stroked="false">
              <v:fill type="solid"/>
            </v:rect>
            <v:shape style="position:absolute;left:2143;top:181;width:779;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Utile ante imposte</w:t>
                    </w:r>
                  </w:p>
                </w:txbxContent>
              </v:textbox>
              <w10:wrap type="none"/>
            </v:shape>
            <v:shape style="position:absolute;left:5095;top:181;width:24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3.448</w:t>
                    </w:r>
                  </w:p>
                </w:txbxContent>
              </v:textbox>
              <w10:wrap type="none"/>
            </v:shape>
            <v:shape style="position:absolute;left:5824;top:181;width:24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6.271</w:t>
                    </w:r>
                  </w:p>
                </w:txbxContent>
              </v:textbox>
              <w10:wrap type="none"/>
            </v:shape>
            <v:shape style="position:absolute;left:6502;top:181;width:29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69.751</w:t>
                    </w:r>
                  </w:p>
                </w:txbxContent>
              </v:textbox>
              <w10:wrap type="none"/>
            </v:shape>
            <v:shape style="position:absolute;left:7281;top:181;width:24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7.055</w:t>
                    </w:r>
                  </w:p>
                </w:txbxContent>
              </v:textbox>
              <w10:wrap type="none"/>
            </v:shape>
            <v:shape style="position:absolute;left:8009;top:181;width:24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5.786</w:t>
                    </w:r>
                  </w:p>
                </w:txbxContent>
              </v:textbox>
              <w10:wrap type="none"/>
            </v:shape>
            <v:shape style="position:absolute;left:8597;top:181;width:240;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(173)</w:t>
                    </w:r>
                  </w:p>
                </w:txbxContent>
              </v:textbox>
              <w10:wrap type="none"/>
            </v:shape>
            <w10:wrap type="none"/>
          </v:group>
        </w:pict>
      </w:r>
      <w:r>
        <w:rPr>
          <w:rFonts w:ascii="Times New Roman"/>
          <w:b/>
          <w:w w:val="105"/>
          <w:sz w:val="9"/>
        </w:rPr>
        <w:t>Totale</w:t>
      </w:r>
      <w:r>
        <w:rPr>
          <w:rFonts w:ascii="Times New Roman"/>
          <w:b/>
          <w:spacing w:val="-1"/>
          <w:w w:val="105"/>
          <w:sz w:val="9"/>
        </w:rPr>
        <w:t> </w:t>
      </w:r>
      <w:r>
        <w:rPr>
          <w:rFonts w:ascii="Times New Roman"/>
          <w:b/>
          <w:w w:val="105"/>
          <w:sz w:val="9"/>
        </w:rPr>
        <w:t>Oneri</w:t>
      </w:r>
      <w:r>
        <w:rPr>
          <w:rFonts w:ascii="Times New Roman"/>
          <w:b/>
          <w:spacing w:val="4"/>
          <w:w w:val="105"/>
          <w:sz w:val="9"/>
        </w:rPr>
        <w:t> </w:t>
      </w:r>
      <w:r>
        <w:rPr>
          <w:rFonts w:ascii="Times New Roman"/>
          <w:b/>
          <w:w w:val="105"/>
          <w:sz w:val="9"/>
        </w:rPr>
        <w:t>finanziari</w:t>
        <w:tab/>
        <w:t>(6.030)</w:t>
        <w:tab/>
        <w:t>(6.664)</w:t>
        <w:tab/>
        <w:t>(7.398)</w:t>
        <w:tab/>
        <w:t>(7.674)</w:t>
        <w:tab/>
        <w:t>(10.782)</w:t>
        <w:tab/>
        <w:t>(10.764)</w:t>
      </w:r>
    </w:p>
    <w:p>
      <w:pPr>
        <w:tabs>
          <w:tab w:pos="3308" w:val="left" w:leader="none"/>
          <w:tab w:pos="4037" w:val="left" w:leader="none"/>
          <w:tab w:pos="4714" w:val="left" w:leader="none"/>
          <w:tab w:pos="5493" w:val="left" w:leader="none"/>
          <w:tab w:pos="6221" w:val="left" w:leader="none"/>
          <w:tab w:pos="7095" w:val="right" w:leader="none"/>
        </w:tabs>
        <w:spacing w:before="219"/>
        <w:ind w:left="423" w:right="0" w:firstLine="0"/>
        <w:jc w:val="left"/>
        <w:rPr>
          <w:rFonts w:ascii="Times New Roman"/>
          <w:sz w:val="9"/>
        </w:rPr>
      </w:pPr>
      <w:r>
        <w:rPr/>
        <w:pict>
          <v:group style="position:absolute;margin-left:106.32pt;margin-top:18.150276pt;width:335.6pt;height:6.5pt;mso-position-horizontal-relative:page;mso-position-vertical-relative:paragraph;z-index:1888" coordorigin="2126,363" coordsize="6712,130">
            <v:rect style="position:absolute;left:2126;top:363;width:6712;height:130" filled="true" fillcolor="#888b8e" stroked="false">
              <v:fill type="solid"/>
            </v:rect>
            <v:shape style="position:absolute;left:2143;top:382;width:1110;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Risultato  netto d'esercizio</w:t>
                    </w:r>
                  </w:p>
                </w:txbxContent>
              </v:textbox>
              <w10:wrap type="none"/>
            </v:shape>
            <v:shape style="position:absolute;left:5095;top:382;width:24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1.980</w:t>
                    </w:r>
                  </w:p>
                </w:txbxContent>
              </v:textbox>
              <w10:wrap type="none"/>
            </v:shape>
            <v:shape style="position:absolute;left:5824;top:382;width:24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3.321</w:t>
                    </w:r>
                  </w:p>
                </w:txbxContent>
              </v:textbox>
              <w10:wrap type="none"/>
            </v:shape>
            <v:shape style="position:absolute;left:6502;top:382;width:29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44.079</w:t>
                    </w:r>
                  </w:p>
                </w:txbxContent>
              </v:textbox>
              <w10:wrap type="none"/>
            </v:shape>
            <v:shape style="position:absolute;left:7281;top:382;width:24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4.601</w:t>
                    </w:r>
                  </w:p>
                </w:txbxContent>
              </v:textbox>
              <w10:wrap type="none"/>
            </v:shape>
            <v:shape style="position:absolute;left:8009;top:382;width:245;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3.754</w:t>
                    </w:r>
                  </w:p>
                </w:txbxContent>
              </v:textbox>
              <w10:wrap type="none"/>
            </v:shape>
            <v:shape style="position:absolute;left:8597;top:382;width:240;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(159)</w:t>
                    </w:r>
                  </w:p>
                </w:txbxContent>
              </v:textbox>
              <w10:wrap type="none"/>
            </v:shape>
            <w10:wrap type="none"/>
          </v:group>
        </w:pict>
      </w:r>
      <w:r>
        <w:rPr>
          <w:rFonts w:ascii="Times New Roman"/>
          <w:w w:val="105"/>
          <w:sz w:val="9"/>
        </w:rPr>
        <w:t>Imposte sul</w:t>
      </w:r>
      <w:r>
        <w:rPr>
          <w:rFonts w:ascii="Times New Roman"/>
          <w:spacing w:val="-1"/>
          <w:w w:val="105"/>
          <w:sz w:val="9"/>
        </w:rPr>
        <w:t> </w:t>
      </w:r>
      <w:r>
        <w:rPr>
          <w:rFonts w:ascii="Times New Roman"/>
          <w:w w:val="105"/>
          <w:sz w:val="9"/>
        </w:rPr>
        <w:t>reddito</w:t>
        <w:tab/>
        <w:t>(1.467)</w:t>
        <w:tab/>
        <w:t>(2.950)</w:t>
        <w:tab/>
        <w:t>(25.671)</w:t>
        <w:tab/>
        <w:t>(2.454)</w:t>
        <w:tab/>
        <w:t>(2.032)</w:t>
        <w:tab/>
        <w:t>14</w:t>
      </w:r>
    </w:p>
    <w:p>
      <w:pPr>
        <w:tabs>
          <w:tab w:pos="2954" w:val="left" w:leader="none"/>
          <w:tab w:pos="3632" w:val="left" w:leader="none"/>
          <w:tab w:pos="4360" w:val="left" w:leader="none"/>
          <w:tab w:pos="5088" w:val="left" w:leader="none"/>
          <w:tab w:pos="5816" w:val="left" w:leader="none"/>
          <w:tab w:pos="6673" w:val="right" w:leader="none"/>
        </w:tabs>
        <w:spacing w:before="795"/>
        <w:ind w:left="0" w:right="1798" w:firstLine="0"/>
        <w:jc w:val="center"/>
        <w:rPr>
          <w:rFonts w:ascii="Times New Roman"/>
          <w:sz w:val="9"/>
        </w:rPr>
      </w:pPr>
      <w:r>
        <w:rPr/>
        <w:pict>
          <v:shape style="position:absolute;margin-left:106.32pt;margin-top:22.051006pt;width:335.65pt;height:15.15pt;mso-position-horizontal-relative:page;mso-position-vertical-relative:paragraph;z-index:2152" type="#_x0000_t202" filled="false" stroked="false">
            <v:textbox inset="0,0,0,0">
              <w:txbxContent>
                <w:tbl>
                  <w:tblPr>
                    <w:tblW w:w="0" w:type="auto"/>
                    <w:jc w:val="left"/>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1548"/>
                    <w:gridCol w:w="1667"/>
                    <w:gridCol w:w="728"/>
                    <w:gridCol w:w="728"/>
                    <w:gridCol w:w="728"/>
                    <w:gridCol w:w="692"/>
                    <w:gridCol w:w="621"/>
                  </w:tblGrid>
                  <w:tr>
                    <w:trPr>
                      <w:trHeight w:val="149" w:hRule="exact"/>
                    </w:trPr>
                    <w:tc>
                      <w:tcPr>
                        <w:tcW w:w="6713" w:type="dxa"/>
                        <w:gridSpan w:val="7"/>
                        <w:tcBorders>
                          <w:bottom w:val="nil"/>
                        </w:tcBorders>
                        <w:shd w:val="clear" w:color="auto" w:fill="888B8E"/>
                      </w:tcPr>
                      <w:p>
                        <w:pPr>
                          <w:pStyle w:val="TableParagraph"/>
                          <w:spacing w:before="14"/>
                          <w:ind w:left="16"/>
                          <w:rPr>
                            <w:b/>
                            <w:sz w:val="9"/>
                          </w:rPr>
                        </w:pPr>
                        <w:r>
                          <w:rPr>
                            <w:b/>
                            <w:color w:val="FFFFFF"/>
                            <w:w w:val="105"/>
                            <w:sz w:val="9"/>
                          </w:rPr>
                          <w:t>Stato Patrimoniale</w:t>
                        </w:r>
                      </w:p>
                    </w:tc>
                  </w:tr>
                  <w:tr>
                    <w:trPr>
                      <w:trHeight w:val="154" w:hRule="exact"/>
                    </w:trPr>
                    <w:tc>
                      <w:tcPr>
                        <w:tcW w:w="1548" w:type="dxa"/>
                        <w:tcBorders>
                          <w:top w:val="single" w:sz="20" w:space="0" w:color="FFFFFF"/>
                        </w:tcBorders>
                        <w:shd w:val="clear" w:color="auto" w:fill="A03033"/>
                      </w:tcPr>
                      <w:p>
                        <w:pPr>
                          <w:pStyle w:val="TableParagraph"/>
                          <w:spacing w:before="18"/>
                          <w:ind w:left="16"/>
                          <w:rPr>
                            <w:i/>
                            <w:sz w:val="9"/>
                          </w:rPr>
                        </w:pPr>
                        <w:r>
                          <w:rPr>
                            <w:i/>
                            <w:color w:val="FFFFFF"/>
                            <w:w w:val="105"/>
                            <w:sz w:val="9"/>
                          </w:rPr>
                          <w:t>(Euro/k)</w:t>
                        </w:r>
                      </w:p>
                    </w:tc>
                    <w:tc>
                      <w:tcPr>
                        <w:tcW w:w="1667" w:type="dxa"/>
                        <w:tcBorders>
                          <w:top w:val="single" w:sz="20" w:space="0" w:color="FFFFFF"/>
                        </w:tcBorders>
                        <w:shd w:val="clear" w:color="auto" w:fill="A03033"/>
                      </w:tcPr>
                      <w:p>
                        <w:pPr>
                          <w:pStyle w:val="TableParagraph"/>
                          <w:spacing w:before="20"/>
                          <w:ind w:right="260"/>
                          <w:jc w:val="right"/>
                          <w:rPr>
                            <w:b/>
                            <w:sz w:val="9"/>
                          </w:rPr>
                        </w:pPr>
                        <w:r>
                          <w:rPr>
                            <w:b/>
                            <w:color w:val="FFFFFF"/>
                            <w:w w:val="105"/>
                            <w:sz w:val="9"/>
                          </w:rPr>
                          <w:t>2011</w:t>
                        </w:r>
                      </w:p>
                    </w:tc>
                    <w:tc>
                      <w:tcPr>
                        <w:tcW w:w="728" w:type="dxa"/>
                        <w:tcBorders>
                          <w:top w:val="single" w:sz="20" w:space="0" w:color="FFFFFF"/>
                        </w:tcBorders>
                        <w:shd w:val="clear" w:color="auto" w:fill="A03033"/>
                      </w:tcPr>
                      <w:p>
                        <w:pPr>
                          <w:pStyle w:val="TableParagraph"/>
                          <w:spacing w:before="20"/>
                          <w:ind w:left="250" w:right="248"/>
                          <w:jc w:val="center"/>
                          <w:rPr>
                            <w:b/>
                            <w:sz w:val="9"/>
                          </w:rPr>
                        </w:pPr>
                        <w:r>
                          <w:rPr>
                            <w:b/>
                            <w:color w:val="FFFFFF"/>
                            <w:w w:val="105"/>
                            <w:sz w:val="9"/>
                          </w:rPr>
                          <w:t>2012</w:t>
                        </w:r>
                      </w:p>
                    </w:tc>
                    <w:tc>
                      <w:tcPr>
                        <w:tcW w:w="728" w:type="dxa"/>
                        <w:tcBorders>
                          <w:top w:val="single" w:sz="20" w:space="0" w:color="FFFFFF"/>
                        </w:tcBorders>
                        <w:shd w:val="clear" w:color="auto" w:fill="A03033"/>
                      </w:tcPr>
                      <w:p>
                        <w:pPr>
                          <w:pStyle w:val="TableParagraph"/>
                          <w:spacing w:before="20"/>
                          <w:ind w:left="250" w:right="248"/>
                          <w:jc w:val="center"/>
                          <w:rPr>
                            <w:b/>
                            <w:sz w:val="9"/>
                          </w:rPr>
                        </w:pPr>
                        <w:r>
                          <w:rPr>
                            <w:b/>
                            <w:color w:val="FFFFFF"/>
                            <w:w w:val="105"/>
                            <w:sz w:val="9"/>
                          </w:rPr>
                          <w:t>2013</w:t>
                        </w:r>
                      </w:p>
                    </w:tc>
                    <w:tc>
                      <w:tcPr>
                        <w:tcW w:w="728" w:type="dxa"/>
                        <w:tcBorders>
                          <w:top w:val="single" w:sz="20" w:space="0" w:color="FFFFFF"/>
                        </w:tcBorders>
                        <w:shd w:val="clear" w:color="auto" w:fill="A03033"/>
                      </w:tcPr>
                      <w:p>
                        <w:pPr>
                          <w:pStyle w:val="TableParagraph"/>
                          <w:spacing w:before="20"/>
                          <w:ind w:left="250" w:right="248"/>
                          <w:jc w:val="center"/>
                          <w:rPr>
                            <w:b/>
                            <w:sz w:val="9"/>
                          </w:rPr>
                        </w:pPr>
                        <w:r>
                          <w:rPr>
                            <w:b/>
                            <w:color w:val="FFFFFF"/>
                            <w:w w:val="105"/>
                            <w:sz w:val="9"/>
                          </w:rPr>
                          <w:t>2014</w:t>
                        </w:r>
                      </w:p>
                    </w:tc>
                    <w:tc>
                      <w:tcPr>
                        <w:tcW w:w="692" w:type="dxa"/>
                        <w:tcBorders>
                          <w:top w:val="single" w:sz="20" w:space="0" w:color="FFFFFF"/>
                        </w:tcBorders>
                        <w:shd w:val="clear" w:color="auto" w:fill="A03033"/>
                      </w:tcPr>
                      <w:p>
                        <w:pPr>
                          <w:pStyle w:val="TableParagraph"/>
                          <w:spacing w:before="20"/>
                          <w:ind w:left="264"/>
                          <w:rPr>
                            <w:b/>
                            <w:sz w:val="9"/>
                          </w:rPr>
                        </w:pPr>
                        <w:r>
                          <w:rPr>
                            <w:b/>
                            <w:color w:val="FFFFFF"/>
                            <w:w w:val="105"/>
                            <w:sz w:val="9"/>
                          </w:rPr>
                          <w:t>2015</w:t>
                        </w:r>
                      </w:p>
                    </w:tc>
                    <w:tc>
                      <w:tcPr>
                        <w:tcW w:w="621" w:type="dxa"/>
                        <w:tcBorders>
                          <w:top w:val="single" w:sz="20" w:space="0" w:color="FFFFFF"/>
                        </w:tcBorders>
                        <w:shd w:val="clear" w:color="auto" w:fill="A03033"/>
                      </w:tcPr>
                      <w:p>
                        <w:pPr>
                          <w:pStyle w:val="TableParagraph"/>
                          <w:spacing w:before="20"/>
                          <w:ind w:left="228"/>
                          <w:rPr>
                            <w:b/>
                            <w:sz w:val="9"/>
                          </w:rPr>
                        </w:pPr>
                        <w:r>
                          <w:rPr>
                            <w:b/>
                            <w:color w:val="FFFFFF"/>
                            <w:w w:val="105"/>
                            <w:sz w:val="9"/>
                          </w:rPr>
                          <w:t>2016</w:t>
                        </w:r>
                      </w:p>
                    </w:tc>
                  </w:tr>
                </w:tbl>
                <w:p>
                  <w:pPr>
                    <w:pStyle w:val="BodyText"/>
                  </w:pPr>
                </w:p>
              </w:txbxContent>
            </v:textbox>
            <w10:wrap type="none"/>
          </v:shape>
        </w:pict>
      </w:r>
      <w:r>
        <w:rPr>
          <w:rFonts w:ascii="Times New Roman"/>
          <w:w w:val="105"/>
          <w:sz w:val="9"/>
        </w:rPr>
        <w:t>Immobilizzazioni</w:t>
      </w:r>
      <w:r>
        <w:rPr>
          <w:rFonts w:ascii="Times New Roman"/>
          <w:spacing w:val="-4"/>
          <w:w w:val="105"/>
          <w:sz w:val="9"/>
        </w:rPr>
        <w:t> </w:t>
      </w:r>
      <w:r>
        <w:rPr>
          <w:rFonts w:ascii="Times New Roman"/>
          <w:w w:val="105"/>
          <w:sz w:val="9"/>
        </w:rPr>
        <w:t>materiali</w:t>
        <w:tab/>
        <w:t>8.835</w:t>
        <w:tab/>
        <w:t>42.430</w:t>
        <w:tab/>
        <w:t>38.818</w:t>
        <w:tab/>
        <w:t>32.231</w:t>
        <w:tab/>
        <w:t>26.210</w:t>
        <w:tab/>
        <w:t>11.189</w:t>
      </w:r>
    </w:p>
    <w:p>
      <w:pPr>
        <w:tabs>
          <w:tab w:pos="3142" w:val="left" w:leader="none"/>
          <w:tab w:pos="3872" w:val="left" w:leader="none"/>
          <w:tab w:pos="4600" w:val="left" w:leader="none"/>
          <w:tab w:pos="5329" w:val="left" w:leader="none"/>
          <w:tab w:pos="6057" w:val="left" w:leader="none"/>
          <w:tab w:pos="6639" w:val="left" w:leader="none"/>
        </w:tabs>
        <w:spacing w:before="20"/>
        <w:ind w:left="0" w:right="1800" w:firstLine="0"/>
        <w:jc w:val="center"/>
        <w:rPr>
          <w:rFonts w:ascii="Times New Roman"/>
          <w:sz w:val="9"/>
        </w:rPr>
      </w:pPr>
      <w:r>
        <w:rPr>
          <w:rFonts w:ascii="Times New Roman"/>
          <w:w w:val="105"/>
          <w:sz w:val="9"/>
        </w:rPr>
        <w:t>Investimenti</w:t>
      </w:r>
      <w:r>
        <w:rPr>
          <w:rFonts w:ascii="Times New Roman"/>
          <w:spacing w:val="-3"/>
          <w:w w:val="105"/>
          <w:sz w:val="9"/>
        </w:rPr>
        <w:t> </w:t>
      </w:r>
      <w:r>
        <w:rPr>
          <w:rFonts w:ascii="Times New Roman"/>
          <w:w w:val="105"/>
          <w:sz w:val="9"/>
        </w:rPr>
        <w:t>immobiliari</w:t>
        <w:tab/>
        <w:t>-</w:t>
        <w:tab/>
        <w:t>-</w:t>
        <w:tab/>
        <w:t>-</w:t>
        <w:tab/>
        <w:t>-</w:t>
        <w:tab/>
        <w:t>-</w:t>
        <w:tab/>
        <w:t>-</w:t>
      </w:r>
    </w:p>
    <w:p>
      <w:pPr>
        <w:tabs>
          <w:tab w:pos="2955" w:val="left" w:leader="none"/>
          <w:tab w:pos="3632" w:val="left" w:leader="none"/>
          <w:tab w:pos="4360" w:val="left" w:leader="none"/>
          <w:tab w:pos="5088" w:val="left" w:leader="none"/>
          <w:tab w:pos="5816" w:val="left" w:leader="none"/>
          <w:tab w:pos="6672" w:val="right" w:leader="none"/>
        </w:tabs>
        <w:spacing w:before="20"/>
        <w:ind w:left="0" w:right="1798" w:firstLine="0"/>
        <w:jc w:val="center"/>
        <w:rPr>
          <w:rFonts w:ascii="Times New Roman" w:hAnsi="Times New Roman"/>
          <w:sz w:val="9"/>
        </w:rPr>
      </w:pPr>
      <w:r>
        <w:rPr>
          <w:rFonts w:ascii="Times New Roman" w:hAnsi="Times New Roman"/>
          <w:w w:val="105"/>
          <w:sz w:val="9"/>
        </w:rPr>
        <w:t>Attività immateriali a vita</w:t>
      </w:r>
      <w:r>
        <w:rPr>
          <w:rFonts w:ascii="Times New Roman" w:hAnsi="Times New Roman"/>
          <w:spacing w:val="-18"/>
          <w:w w:val="105"/>
          <w:sz w:val="9"/>
        </w:rPr>
        <w:t> </w:t>
      </w:r>
      <w:r>
        <w:rPr>
          <w:rFonts w:ascii="Times New Roman" w:hAnsi="Times New Roman"/>
          <w:w w:val="105"/>
          <w:sz w:val="9"/>
        </w:rPr>
        <w:t>utile</w:t>
      </w:r>
      <w:r>
        <w:rPr>
          <w:rFonts w:ascii="Times New Roman" w:hAnsi="Times New Roman"/>
          <w:spacing w:val="-1"/>
          <w:w w:val="105"/>
          <w:sz w:val="9"/>
        </w:rPr>
        <w:t> </w:t>
      </w:r>
      <w:r>
        <w:rPr>
          <w:rFonts w:ascii="Times New Roman" w:hAnsi="Times New Roman"/>
          <w:w w:val="105"/>
          <w:sz w:val="9"/>
        </w:rPr>
        <w:t>definita</w:t>
        <w:tab/>
        <w:t>8.640</w:t>
        <w:tab/>
        <w:t>13.651</w:t>
        <w:tab/>
        <w:t>17.797</w:t>
        <w:tab/>
        <w:t>15.136</w:t>
        <w:tab/>
        <w:t>12.137</w:t>
        <w:tab/>
        <w:t>9.166</w:t>
      </w:r>
    </w:p>
    <w:p>
      <w:pPr>
        <w:tabs>
          <w:tab w:pos="3026" w:val="left" w:leader="none"/>
          <w:tab w:pos="3755" w:val="left" w:leader="none"/>
          <w:tab w:pos="4484" w:val="left" w:leader="none"/>
          <w:tab w:pos="5212" w:val="left" w:leader="none"/>
          <w:tab w:pos="5940" w:val="left" w:leader="none"/>
          <w:tab w:pos="6673" w:val="right" w:leader="none"/>
        </w:tabs>
        <w:spacing w:before="20"/>
        <w:ind w:left="0" w:right="1798" w:firstLine="0"/>
        <w:jc w:val="center"/>
        <w:rPr>
          <w:rFonts w:ascii="Times New Roman" w:hAnsi="Times New Roman"/>
          <w:sz w:val="9"/>
        </w:rPr>
      </w:pPr>
      <w:r>
        <w:rPr>
          <w:rFonts w:ascii="Times New Roman" w:hAnsi="Times New Roman"/>
          <w:w w:val="105"/>
          <w:sz w:val="9"/>
        </w:rPr>
        <w:t>Attività</w:t>
      </w:r>
      <w:r>
        <w:rPr>
          <w:rFonts w:ascii="Times New Roman" w:hAnsi="Times New Roman"/>
          <w:spacing w:val="-7"/>
          <w:w w:val="105"/>
          <w:sz w:val="9"/>
        </w:rPr>
        <w:t> </w:t>
      </w:r>
      <w:r>
        <w:rPr>
          <w:rFonts w:ascii="Times New Roman" w:hAnsi="Times New Roman"/>
          <w:w w:val="105"/>
          <w:sz w:val="9"/>
        </w:rPr>
        <w:t>immateriali</w:t>
      </w:r>
      <w:r>
        <w:rPr>
          <w:rFonts w:ascii="Times New Roman" w:hAnsi="Times New Roman"/>
          <w:spacing w:val="-2"/>
          <w:w w:val="105"/>
          <w:sz w:val="9"/>
        </w:rPr>
        <w:t> </w:t>
      </w:r>
      <w:r>
        <w:rPr>
          <w:rFonts w:ascii="Times New Roman" w:hAnsi="Times New Roman"/>
          <w:w w:val="105"/>
          <w:sz w:val="9"/>
        </w:rPr>
        <w:t>a</w:t>
      </w:r>
      <w:r>
        <w:rPr>
          <w:rFonts w:ascii="Times New Roman" w:hAnsi="Times New Roman"/>
          <w:spacing w:val="-6"/>
          <w:w w:val="105"/>
          <w:sz w:val="9"/>
        </w:rPr>
        <w:t> </w:t>
      </w:r>
      <w:r>
        <w:rPr>
          <w:rFonts w:ascii="Times New Roman" w:hAnsi="Times New Roman"/>
          <w:w w:val="105"/>
          <w:sz w:val="9"/>
        </w:rPr>
        <w:t>vita</w:t>
      </w:r>
      <w:r>
        <w:rPr>
          <w:rFonts w:ascii="Times New Roman" w:hAnsi="Times New Roman"/>
          <w:spacing w:val="-6"/>
          <w:w w:val="105"/>
          <w:sz w:val="9"/>
        </w:rPr>
        <w:t> </w:t>
      </w:r>
      <w:r>
        <w:rPr>
          <w:rFonts w:ascii="Times New Roman" w:hAnsi="Times New Roman"/>
          <w:w w:val="105"/>
          <w:sz w:val="9"/>
        </w:rPr>
        <w:t>utile</w:t>
      </w:r>
      <w:r>
        <w:rPr>
          <w:rFonts w:ascii="Times New Roman" w:hAnsi="Times New Roman"/>
          <w:spacing w:val="-1"/>
          <w:w w:val="105"/>
          <w:sz w:val="9"/>
        </w:rPr>
        <w:t> </w:t>
      </w:r>
      <w:r>
        <w:rPr>
          <w:rFonts w:ascii="Times New Roman" w:hAnsi="Times New Roman"/>
          <w:w w:val="105"/>
          <w:sz w:val="9"/>
        </w:rPr>
        <w:t>indefinita</w:t>
        <w:tab/>
        <w:t>983</w:t>
        <w:tab/>
        <w:t>983</w:t>
        <w:tab/>
        <w:t>983</w:t>
        <w:tab/>
        <w:t>983</w:t>
        <w:tab/>
      </w:r>
      <w:r>
        <w:rPr>
          <w:rFonts w:ascii="Times New Roman" w:hAnsi="Times New Roman"/>
          <w:spacing w:val="2"/>
          <w:w w:val="105"/>
          <w:sz w:val="9"/>
        </w:rPr>
        <w:t>983</w:t>
        <w:tab/>
        <w:t>983</w:t>
      </w:r>
    </w:p>
    <w:p>
      <w:pPr>
        <w:tabs>
          <w:tab w:pos="2954" w:val="left" w:leader="none"/>
          <w:tab w:pos="3682" w:val="left" w:leader="none"/>
          <w:tab w:pos="4410" w:val="left" w:leader="none"/>
          <w:tab w:pos="5138" w:val="left" w:leader="none"/>
          <w:tab w:pos="5766" w:val="left" w:leader="none"/>
          <w:tab w:pos="6673" w:val="right" w:leader="none"/>
        </w:tabs>
        <w:spacing w:before="20"/>
        <w:ind w:left="0" w:right="1798" w:firstLine="0"/>
        <w:jc w:val="center"/>
        <w:rPr>
          <w:rFonts w:ascii="Times New Roman"/>
          <w:sz w:val="9"/>
        </w:rPr>
      </w:pPr>
      <w:r>
        <w:rPr>
          <w:rFonts w:ascii="Times New Roman"/>
          <w:w w:val="105"/>
          <w:sz w:val="9"/>
        </w:rPr>
        <w:t>Partecipazioni</w:t>
        <w:tab/>
        <w:t>3.494</w:t>
        <w:tab/>
        <w:t>5.173</w:t>
        <w:tab/>
        <w:t>4.973</w:t>
        <w:tab/>
        <w:t>4.973</w:t>
        <w:tab/>
        <w:t>108.928</w:t>
        <w:tab/>
        <w:t>135.428</w:t>
      </w:r>
    </w:p>
    <w:p>
      <w:pPr>
        <w:tabs>
          <w:tab w:pos="3025" w:val="left" w:leader="none"/>
          <w:tab w:pos="3753" w:val="left" w:leader="none"/>
          <w:tab w:pos="4483" w:val="left" w:leader="none"/>
          <w:tab w:pos="5211" w:val="left" w:leader="none"/>
          <w:tab w:pos="5940" w:val="left" w:leader="none"/>
          <w:tab w:pos="6673" w:val="right" w:leader="none"/>
        </w:tabs>
        <w:spacing w:before="19"/>
        <w:ind w:left="0" w:right="1798" w:firstLine="0"/>
        <w:jc w:val="center"/>
        <w:rPr>
          <w:rFonts w:ascii="Times New Roman"/>
          <w:sz w:val="9"/>
        </w:rPr>
      </w:pPr>
      <w:r>
        <w:rPr>
          <w:rFonts w:ascii="Times New Roman"/>
          <w:w w:val="105"/>
          <w:sz w:val="9"/>
        </w:rPr>
        <w:t>Crediti</w:t>
      </w:r>
      <w:r>
        <w:rPr>
          <w:rFonts w:ascii="Times New Roman"/>
          <w:spacing w:val="2"/>
          <w:w w:val="105"/>
          <w:sz w:val="9"/>
        </w:rPr>
        <w:t> </w:t>
      </w:r>
      <w:r>
        <w:rPr>
          <w:rFonts w:ascii="Times New Roman"/>
          <w:w w:val="105"/>
          <w:sz w:val="9"/>
        </w:rPr>
        <w:t>non</w:t>
      </w:r>
      <w:r>
        <w:rPr>
          <w:rFonts w:ascii="Times New Roman"/>
          <w:spacing w:val="-3"/>
          <w:w w:val="105"/>
          <w:sz w:val="9"/>
        </w:rPr>
        <w:t> </w:t>
      </w:r>
      <w:r>
        <w:rPr>
          <w:rFonts w:ascii="Times New Roman"/>
          <w:w w:val="105"/>
          <w:sz w:val="9"/>
        </w:rPr>
        <w:t>correnti</w:t>
        <w:tab/>
        <w:t>534</w:t>
        <w:tab/>
        <w:t>714</w:t>
        <w:tab/>
        <w:t>759</w:t>
        <w:tab/>
        <w:t>327</w:t>
        <w:tab/>
      </w:r>
      <w:r>
        <w:rPr>
          <w:rFonts w:ascii="Times New Roman"/>
          <w:spacing w:val="2"/>
          <w:w w:val="105"/>
          <w:sz w:val="9"/>
        </w:rPr>
        <w:t>221</w:t>
        <w:tab/>
        <w:t>225</w:t>
      </w:r>
    </w:p>
    <w:p>
      <w:pPr>
        <w:tabs>
          <w:tab w:pos="2954" w:val="left" w:leader="none"/>
          <w:tab w:pos="3804" w:val="left" w:leader="none"/>
          <w:tab w:pos="4534" w:val="left" w:leader="none"/>
          <w:tab w:pos="5262" w:val="left" w:leader="none"/>
          <w:tab w:pos="5990" w:val="left" w:leader="none"/>
          <w:tab w:pos="6639" w:val="left" w:leader="none"/>
        </w:tabs>
        <w:spacing w:before="20"/>
        <w:ind w:left="0" w:right="1800" w:firstLine="0"/>
        <w:jc w:val="center"/>
        <w:rPr>
          <w:rFonts w:ascii="Times New Roman" w:hAnsi="Times New Roman"/>
          <w:sz w:val="9"/>
        </w:rPr>
      </w:pPr>
      <w:r>
        <w:rPr>
          <w:rFonts w:ascii="Times New Roman" w:hAnsi="Times New Roman"/>
          <w:w w:val="105"/>
          <w:sz w:val="9"/>
        </w:rPr>
        <w:t>Attività finanziarie</w:t>
      </w:r>
      <w:r>
        <w:rPr>
          <w:rFonts w:ascii="Times New Roman" w:hAnsi="Times New Roman"/>
          <w:spacing w:val="-7"/>
          <w:w w:val="105"/>
          <w:sz w:val="9"/>
        </w:rPr>
        <w:t> </w:t>
      </w:r>
      <w:r>
        <w:rPr>
          <w:rFonts w:ascii="Times New Roman" w:hAnsi="Times New Roman"/>
          <w:w w:val="105"/>
          <w:sz w:val="9"/>
        </w:rPr>
        <w:t>non</w:t>
      </w:r>
      <w:r>
        <w:rPr>
          <w:rFonts w:ascii="Times New Roman" w:hAnsi="Times New Roman"/>
          <w:spacing w:val="-6"/>
          <w:w w:val="105"/>
          <w:sz w:val="9"/>
        </w:rPr>
        <w:t> </w:t>
      </w:r>
      <w:r>
        <w:rPr>
          <w:rFonts w:ascii="Times New Roman" w:hAnsi="Times New Roman"/>
          <w:w w:val="105"/>
          <w:sz w:val="9"/>
        </w:rPr>
        <w:t>correnti</w:t>
        <w:tab/>
        <w:t>2.269</w:t>
        <w:tab/>
        <w:t>14</w:t>
        <w:tab/>
        <w:t>14</w:t>
        <w:tab/>
        <w:t>14</w:t>
        <w:tab/>
        <w:t>14</w:t>
        <w:tab/>
        <w:t>-</w:t>
      </w:r>
    </w:p>
    <w:p>
      <w:pPr>
        <w:tabs>
          <w:tab w:pos="2464" w:val="left" w:leader="none"/>
          <w:tab w:pos="2954" w:val="left" w:leader="none"/>
          <w:tab w:pos="3682" w:val="left" w:leader="none"/>
          <w:tab w:pos="4410" w:val="left" w:leader="none"/>
          <w:tab w:pos="5139" w:val="left" w:leader="none"/>
          <w:tab w:pos="5867" w:val="left" w:leader="none"/>
          <w:tab w:pos="6450" w:val="left" w:leader="none"/>
        </w:tabs>
        <w:spacing w:before="20"/>
        <w:ind w:left="0" w:right="1775" w:firstLine="0"/>
        <w:jc w:val="center"/>
        <w:rPr>
          <w:rFonts w:ascii="Times New Roman" w:hAnsi="Times New Roman"/>
          <w:sz w:val="9"/>
        </w:rPr>
      </w:pPr>
      <w:r>
        <w:rPr>
          <w:rFonts w:ascii="Times New Roman" w:hAnsi="Times New Roman"/>
          <w:w w:val="105"/>
          <w:sz w:val="9"/>
        </w:rPr>
        <w:t>Attività per</w:t>
      </w:r>
      <w:r>
        <w:rPr>
          <w:rFonts w:ascii="Times New Roman" w:hAnsi="Times New Roman"/>
          <w:spacing w:val="-9"/>
          <w:w w:val="105"/>
          <w:sz w:val="9"/>
        </w:rPr>
        <w:t> </w:t>
      </w:r>
      <w:r>
        <w:rPr>
          <w:rFonts w:ascii="Times New Roman" w:hAnsi="Times New Roman"/>
          <w:w w:val="105"/>
          <w:sz w:val="9"/>
        </w:rPr>
        <w:t>imposte</w:t>
      </w:r>
      <w:r>
        <w:rPr>
          <w:rFonts w:ascii="Times New Roman" w:hAnsi="Times New Roman"/>
          <w:spacing w:val="-1"/>
          <w:w w:val="105"/>
          <w:sz w:val="9"/>
        </w:rPr>
        <w:t> </w:t>
      </w:r>
      <w:r>
        <w:rPr>
          <w:rFonts w:ascii="Times New Roman" w:hAnsi="Times New Roman"/>
          <w:w w:val="105"/>
          <w:sz w:val="9"/>
        </w:rPr>
        <w:t>anticipate</w:t>
        <w:tab/>
      </w:r>
      <w:r>
        <w:rPr>
          <w:rFonts w:ascii="Times New Roman" w:hAnsi="Times New Roman"/>
          <w:w w:val="105"/>
          <w:sz w:val="9"/>
          <w:u w:val="single"/>
        </w:rPr>
        <w:t> </w:t>
        <w:tab/>
        <w:t>1.997</w:t>
        <w:tab/>
        <w:t>1.278</w:t>
        <w:tab/>
        <w:t>1.915</w:t>
        <w:tab/>
        <w:t>2.847</w:t>
        <w:tab/>
        <w:t>2.214</w:t>
        <w:tab/>
        <w:t>2.020</w:t>
      </w:r>
      <w:r>
        <w:rPr>
          <w:rFonts w:ascii="Times New Roman" w:hAnsi="Times New Roman"/>
          <w:spacing w:val="3"/>
          <w:sz w:val="9"/>
          <w:u w:val="single"/>
        </w:rPr>
        <w:t> </w:t>
      </w:r>
    </w:p>
    <w:p>
      <w:pPr>
        <w:tabs>
          <w:tab w:pos="2902" w:val="left" w:leader="none"/>
          <w:tab w:pos="3631" w:val="left" w:leader="none"/>
          <w:tab w:pos="4359" w:val="left" w:leader="none"/>
          <w:tab w:pos="5087" w:val="left" w:leader="none"/>
          <w:tab w:pos="5765" w:val="left" w:leader="none"/>
          <w:tab w:pos="6673" w:val="right" w:leader="none"/>
        </w:tabs>
        <w:spacing w:before="22"/>
        <w:ind w:left="0" w:right="1798" w:firstLine="0"/>
        <w:jc w:val="center"/>
        <w:rPr>
          <w:rFonts w:ascii="Times New Roman" w:hAnsi="Times New Roman"/>
          <w:b/>
          <w:sz w:val="9"/>
        </w:rPr>
      </w:pPr>
      <w:r>
        <w:rPr>
          <w:rFonts w:ascii="Times New Roman" w:hAnsi="Times New Roman"/>
          <w:b/>
          <w:w w:val="105"/>
          <w:sz w:val="9"/>
        </w:rPr>
        <w:t>Attività non</w:t>
      </w:r>
      <w:r>
        <w:rPr>
          <w:rFonts w:ascii="Times New Roman" w:hAnsi="Times New Roman"/>
          <w:b/>
          <w:spacing w:val="-1"/>
          <w:w w:val="105"/>
          <w:sz w:val="9"/>
        </w:rPr>
        <w:t> </w:t>
      </w:r>
      <w:r>
        <w:rPr>
          <w:rFonts w:ascii="Times New Roman" w:hAnsi="Times New Roman"/>
          <w:b/>
          <w:w w:val="105"/>
          <w:sz w:val="9"/>
        </w:rPr>
        <w:t>correnti</w:t>
        <w:tab/>
        <w:t>26.752</w:t>
        <w:tab/>
        <w:t>64.244</w:t>
        <w:tab/>
        <w:t>65.260</w:t>
        <w:tab/>
        <w:t>56.512</w:t>
        <w:tab/>
        <w:t>150.707</w:t>
        <w:tab/>
        <w:t>159.011</w:t>
      </w:r>
    </w:p>
    <w:p>
      <w:pPr>
        <w:tabs>
          <w:tab w:pos="3142" w:val="left" w:leader="none"/>
          <w:tab w:pos="3872" w:val="left" w:leader="none"/>
          <w:tab w:pos="4600" w:val="left" w:leader="none"/>
          <w:tab w:pos="5329" w:val="left" w:leader="none"/>
          <w:tab w:pos="6057" w:val="left" w:leader="none"/>
          <w:tab w:pos="6639" w:val="left" w:leader="none"/>
        </w:tabs>
        <w:spacing w:before="57"/>
        <w:ind w:left="0" w:right="1800" w:firstLine="0"/>
        <w:jc w:val="center"/>
        <w:rPr>
          <w:rFonts w:ascii="Times New Roman"/>
          <w:sz w:val="9"/>
        </w:rPr>
      </w:pPr>
      <w:r>
        <w:rPr>
          <w:rFonts w:ascii="Times New Roman"/>
          <w:w w:val="105"/>
          <w:sz w:val="9"/>
        </w:rPr>
        <w:t>Rimanenze</w:t>
        <w:tab/>
        <w:t>-</w:t>
        <w:tab/>
        <w:t>-</w:t>
        <w:tab/>
        <w:t>-</w:t>
        <w:tab/>
        <w:t>-</w:t>
        <w:tab/>
        <w:t>-</w:t>
        <w:tab/>
        <w:t>-</w:t>
      </w:r>
    </w:p>
    <w:p>
      <w:pPr>
        <w:tabs>
          <w:tab w:pos="3025" w:val="left" w:leader="none"/>
          <w:tab w:pos="3681" w:val="left" w:leader="none"/>
          <w:tab w:pos="4410" w:val="left" w:leader="none"/>
          <w:tab w:pos="5138" w:val="left" w:leader="none"/>
          <w:tab w:pos="5866" w:val="left" w:leader="none"/>
          <w:tab w:pos="6639" w:val="left" w:leader="none"/>
        </w:tabs>
        <w:spacing w:before="19"/>
        <w:ind w:left="0" w:right="1800" w:firstLine="0"/>
        <w:jc w:val="center"/>
        <w:rPr>
          <w:rFonts w:ascii="Times New Roman"/>
          <w:sz w:val="9"/>
        </w:rPr>
      </w:pPr>
      <w:r>
        <w:rPr>
          <w:rFonts w:ascii="Times New Roman"/>
          <w:w w:val="105"/>
          <w:sz w:val="9"/>
        </w:rPr>
        <w:t>Lavori in corso</w:t>
      </w:r>
      <w:r>
        <w:rPr>
          <w:rFonts w:ascii="Times New Roman"/>
          <w:spacing w:val="-5"/>
          <w:w w:val="105"/>
          <w:sz w:val="9"/>
        </w:rPr>
        <w:t> </w:t>
      </w:r>
      <w:r>
        <w:rPr>
          <w:rFonts w:ascii="Times New Roman"/>
          <w:w w:val="105"/>
          <w:sz w:val="9"/>
        </w:rPr>
        <w:t>su</w:t>
      </w:r>
      <w:r>
        <w:rPr>
          <w:rFonts w:ascii="Times New Roman"/>
          <w:spacing w:val="-5"/>
          <w:w w:val="105"/>
          <w:sz w:val="9"/>
        </w:rPr>
        <w:t> </w:t>
      </w:r>
      <w:r>
        <w:rPr>
          <w:rFonts w:ascii="Times New Roman"/>
          <w:w w:val="105"/>
          <w:sz w:val="9"/>
        </w:rPr>
        <w:t>ordinazione</w:t>
        <w:tab/>
        <w:t>321</w:t>
        <w:tab/>
        <w:t>1.377</w:t>
        <w:tab/>
        <w:t>1.055</w:t>
        <w:tab/>
        <w:t>1.055</w:t>
        <w:tab/>
        <w:t>1.055</w:t>
        <w:tab/>
        <w:t>-</w:t>
      </w:r>
    </w:p>
    <w:p>
      <w:pPr>
        <w:tabs>
          <w:tab w:pos="2903" w:val="left" w:leader="none"/>
          <w:tab w:pos="3631" w:val="left" w:leader="none"/>
          <w:tab w:pos="4360" w:val="left" w:leader="none"/>
          <w:tab w:pos="5088" w:val="left" w:leader="none"/>
          <w:tab w:pos="5816" w:val="left" w:leader="none"/>
          <w:tab w:pos="6673" w:val="right" w:leader="none"/>
        </w:tabs>
        <w:spacing w:before="20"/>
        <w:ind w:left="0" w:right="1798" w:firstLine="0"/>
        <w:jc w:val="center"/>
        <w:rPr>
          <w:rFonts w:ascii="Times New Roman"/>
          <w:sz w:val="9"/>
        </w:rPr>
      </w:pPr>
      <w:r>
        <w:rPr>
          <w:rFonts w:ascii="Times New Roman"/>
          <w:w w:val="105"/>
          <w:sz w:val="9"/>
        </w:rPr>
        <w:t>Crediti commerciali e altri</w:t>
      </w:r>
      <w:r>
        <w:rPr>
          <w:rFonts w:ascii="Times New Roman"/>
          <w:spacing w:val="17"/>
          <w:w w:val="105"/>
          <w:sz w:val="9"/>
        </w:rPr>
        <w:t> </w:t>
      </w:r>
      <w:r>
        <w:rPr>
          <w:rFonts w:ascii="Times New Roman"/>
          <w:w w:val="105"/>
          <w:sz w:val="9"/>
        </w:rPr>
        <w:t>crediti</w:t>
      </w:r>
      <w:r>
        <w:rPr>
          <w:rFonts w:ascii="Times New Roman"/>
          <w:spacing w:val="3"/>
          <w:w w:val="105"/>
          <w:sz w:val="9"/>
        </w:rPr>
        <w:t> </w:t>
      </w:r>
      <w:r>
        <w:rPr>
          <w:rFonts w:ascii="Times New Roman"/>
          <w:w w:val="105"/>
          <w:sz w:val="9"/>
        </w:rPr>
        <w:t>correnti</w:t>
        <w:tab/>
        <w:t>22.662</w:t>
        <w:tab/>
        <w:t>93.415</w:t>
        <w:tab/>
        <w:t>44.935</w:t>
        <w:tab/>
        <w:t>38.803</w:t>
        <w:tab/>
        <w:t>36.556</w:t>
        <w:tab/>
        <w:t>56.836</w:t>
      </w:r>
    </w:p>
    <w:p>
      <w:pPr>
        <w:tabs>
          <w:tab w:pos="2841" w:val="left" w:leader="none"/>
          <w:tab w:pos="3570" w:val="left" w:leader="none"/>
          <w:tab w:pos="4298" w:val="left" w:leader="none"/>
          <w:tab w:pos="5026" w:val="left" w:leader="none"/>
          <w:tab w:pos="5822" w:val="left" w:leader="none"/>
          <w:tab w:pos="6538" w:val="right" w:leader="none"/>
        </w:tabs>
        <w:spacing w:before="30"/>
        <w:ind w:left="0" w:right="1675" w:firstLine="0"/>
        <w:jc w:val="center"/>
        <w:rPr>
          <w:rFonts w:ascii="Times New Roman"/>
          <w:i/>
          <w:sz w:val="8"/>
        </w:rPr>
      </w:pPr>
      <w:r>
        <w:rPr>
          <w:rFonts w:ascii="Times New Roman"/>
          <w:i/>
          <w:w w:val="105"/>
          <w:sz w:val="8"/>
        </w:rPr>
        <w:t>- Crediti commerciali</w:t>
      </w:r>
      <w:r>
        <w:rPr>
          <w:rFonts w:ascii="Times New Roman"/>
          <w:i/>
          <w:spacing w:val="3"/>
          <w:w w:val="105"/>
          <w:sz w:val="8"/>
        </w:rPr>
        <w:t> </w:t>
      </w:r>
      <w:r>
        <w:rPr>
          <w:rFonts w:ascii="Times New Roman"/>
          <w:i/>
          <w:w w:val="105"/>
          <w:sz w:val="8"/>
        </w:rPr>
        <w:t>verso</w:t>
      </w:r>
      <w:r>
        <w:rPr>
          <w:rFonts w:ascii="Times New Roman"/>
          <w:i/>
          <w:spacing w:val="4"/>
          <w:w w:val="105"/>
          <w:sz w:val="8"/>
        </w:rPr>
        <w:t> </w:t>
      </w:r>
      <w:r>
        <w:rPr>
          <w:rFonts w:ascii="Times New Roman"/>
          <w:i/>
          <w:w w:val="105"/>
          <w:sz w:val="8"/>
        </w:rPr>
        <w:t>terzi</w:t>
        <w:tab/>
        <w:t>4.163</w:t>
        <w:tab/>
        <w:t>2.142</w:t>
        <w:tab/>
        <w:t>5.292</w:t>
        <w:tab/>
        <w:t>1.438</w:t>
        <w:tab/>
        <w:t>798</w:t>
        <w:tab/>
      </w:r>
      <w:r>
        <w:rPr>
          <w:rFonts w:ascii="Times New Roman"/>
          <w:i/>
          <w:spacing w:val="2"/>
          <w:w w:val="105"/>
          <w:sz w:val="8"/>
        </w:rPr>
        <w:t>17.626</w:t>
      </w:r>
    </w:p>
    <w:p>
      <w:pPr>
        <w:tabs>
          <w:tab w:pos="2841" w:val="left" w:leader="none"/>
          <w:tab w:pos="3524" w:val="left" w:leader="none"/>
          <w:tab w:pos="4252" w:val="left" w:leader="none"/>
          <w:tab w:pos="4982" w:val="left" w:leader="none"/>
          <w:tab w:pos="5710" w:val="left" w:leader="none"/>
          <w:tab w:pos="6536" w:val="right" w:leader="none"/>
        </w:tabs>
        <w:spacing w:before="20"/>
        <w:ind w:left="0" w:right="1678" w:firstLine="0"/>
        <w:jc w:val="center"/>
        <w:rPr>
          <w:rFonts w:ascii="Times New Roman"/>
          <w:i/>
          <w:sz w:val="8"/>
        </w:rPr>
      </w:pPr>
      <w:r>
        <w:rPr>
          <w:rFonts w:ascii="Times New Roman"/>
          <w:i/>
          <w:w w:val="105"/>
          <w:sz w:val="8"/>
        </w:rPr>
        <w:t>- Crediti commerciali</w:t>
      </w:r>
      <w:r>
        <w:rPr>
          <w:rFonts w:ascii="Times New Roman"/>
          <w:i/>
          <w:spacing w:val="7"/>
          <w:w w:val="105"/>
          <w:sz w:val="8"/>
        </w:rPr>
        <w:t> </w:t>
      </w:r>
      <w:r>
        <w:rPr>
          <w:rFonts w:ascii="Times New Roman"/>
          <w:i/>
          <w:w w:val="105"/>
          <w:sz w:val="8"/>
        </w:rPr>
        <w:t>verso</w:t>
      </w:r>
      <w:r>
        <w:rPr>
          <w:rFonts w:ascii="Times New Roman"/>
          <w:i/>
          <w:spacing w:val="5"/>
          <w:w w:val="105"/>
          <w:sz w:val="8"/>
        </w:rPr>
        <w:t> </w:t>
      </w:r>
      <w:r>
        <w:rPr>
          <w:rFonts w:ascii="Times New Roman"/>
          <w:i/>
          <w:w w:val="105"/>
          <w:sz w:val="8"/>
        </w:rPr>
        <w:t>gruppo</w:t>
        <w:tab/>
        <w:t>6.796</w:t>
        <w:tab/>
        <w:t>78.625</w:t>
        <w:tab/>
        <w:t>24.299</w:t>
        <w:tab/>
        <w:t>30.368</w:t>
        <w:tab/>
      </w:r>
      <w:r>
        <w:rPr>
          <w:rFonts w:ascii="Times New Roman"/>
          <w:i/>
          <w:spacing w:val="2"/>
          <w:w w:val="105"/>
          <w:sz w:val="8"/>
        </w:rPr>
        <w:t>32.715</w:t>
        <w:tab/>
      </w:r>
      <w:r>
        <w:rPr>
          <w:rFonts w:ascii="Times New Roman"/>
          <w:i/>
          <w:w w:val="105"/>
          <w:sz w:val="8"/>
        </w:rPr>
        <w:t>37.474</w:t>
      </w:r>
    </w:p>
    <w:p>
      <w:pPr>
        <w:tabs>
          <w:tab w:pos="2841" w:val="left" w:leader="none"/>
          <w:tab w:pos="3570" w:val="left" w:leader="none"/>
          <w:tab w:pos="4298" w:val="left" w:leader="none"/>
          <w:tab w:pos="5026" w:val="left" w:leader="none"/>
          <w:tab w:pos="5822" w:val="left" w:leader="none"/>
          <w:tab w:pos="6538" w:val="right" w:leader="none"/>
        </w:tabs>
        <w:spacing w:before="19"/>
        <w:ind w:left="0" w:right="1675" w:firstLine="0"/>
        <w:jc w:val="center"/>
        <w:rPr>
          <w:rFonts w:ascii="Times New Roman"/>
          <w:i/>
          <w:sz w:val="8"/>
        </w:rPr>
      </w:pPr>
      <w:r>
        <w:rPr>
          <w:rFonts w:ascii="Times New Roman"/>
          <w:i/>
          <w:w w:val="105"/>
          <w:sz w:val="8"/>
        </w:rPr>
        <w:t>- Altri crediti</w:t>
      </w:r>
      <w:r>
        <w:rPr>
          <w:rFonts w:ascii="Times New Roman"/>
          <w:i/>
          <w:spacing w:val="4"/>
          <w:w w:val="105"/>
          <w:sz w:val="8"/>
        </w:rPr>
        <w:t> </w:t>
      </w:r>
      <w:r>
        <w:rPr>
          <w:rFonts w:ascii="Times New Roman"/>
          <w:i/>
          <w:w w:val="105"/>
          <w:sz w:val="8"/>
        </w:rPr>
        <w:t>correnti</w:t>
      </w:r>
      <w:r>
        <w:rPr>
          <w:rFonts w:ascii="Times New Roman"/>
          <w:i/>
          <w:spacing w:val="2"/>
          <w:w w:val="105"/>
          <w:sz w:val="8"/>
        </w:rPr>
        <w:t> </w:t>
      </w:r>
      <w:r>
        <w:rPr>
          <w:rFonts w:ascii="Times New Roman"/>
          <w:i/>
          <w:w w:val="105"/>
          <w:sz w:val="8"/>
        </w:rPr>
        <w:t>terzi</w:t>
        <w:tab/>
        <w:t>7.621</w:t>
        <w:tab/>
        <w:t>2.022</w:t>
        <w:tab/>
        <w:t>2.815</w:t>
        <w:tab/>
        <w:t>2.551</w:t>
        <w:tab/>
        <w:t>330</w:t>
        <w:tab/>
        <w:t>1.143</w:t>
      </w:r>
    </w:p>
    <w:p>
      <w:pPr>
        <w:tabs>
          <w:tab w:pos="2841" w:val="left" w:leader="none"/>
          <w:tab w:pos="3524" w:val="left" w:leader="none"/>
          <w:tab w:pos="4252" w:val="left" w:leader="none"/>
          <w:tab w:pos="5026" w:val="left" w:leader="none"/>
          <w:tab w:pos="5754" w:val="left" w:leader="none"/>
          <w:tab w:pos="6538" w:val="right" w:leader="none"/>
        </w:tabs>
        <w:spacing w:before="20"/>
        <w:ind w:left="0" w:right="1676" w:firstLine="0"/>
        <w:jc w:val="center"/>
        <w:rPr>
          <w:rFonts w:ascii="Times New Roman"/>
          <w:i/>
          <w:sz w:val="8"/>
        </w:rPr>
      </w:pPr>
      <w:r>
        <w:rPr>
          <w:rFonts w:ascii="Times New Roman"/>
          <w:i/>
          <w:w w:val="105"/>
          <w:sz w:val="8"/>
        </w:rPr>
        <w:t>- Crediti</w:t>
      </w:r>
      <w:r>
        <w:rPr>
          <w:rFonts w:ascii="Times New Roman"/>
          <w:i/>
          <w:spacing w:val="8"/>
          <w:w w:val="105"/>
          <w:sz w:val="8"/>
        </w:rPr>
        <w:t> </w:t>
      </w:r>
      <w:r>
        <w:rPr>
          <w:rFonts w:ascii="Times New Roman"/>
          <w:i/>
          <w:w w:val="105"/>
          <w:sz w:val="8"/>
        </w:rPr>
        <w:t>diversi</w:t>
      </w:r>
      <w:r>
        <w:rPr>
          <w:rFonts w:ascii="Times New Roman"/>
          <w:i/>
          <w:spacing w:val="2"/>
          <w:w w:val="105"/>
          <w:sz w:val="8"/>
        </w:rPr>
        <w:t> </w:t>
      </w:r>
      <w:r>
        <w:rPr>
          <w:rFonts w:ascii="Times New Roman"/>
          <w:i/>
          <w:w w:val="105"/>
          <w:sz w:val="8"/>
        </w:rPr>
        <w:t>gruppo</w:t>
        <w:tab/>
        <w:t>4.083</w:t>
        <w:tab/>
        <w:t>10.627</w:t>
        <w:tab/>
        <w:t>12.530</w:t>
        <w:tab/>
        <w:t>4.445</w:t>
        <w:tab/>
        <w:t>2.712</w:t>
        <w:tab/>
      </w:r>
      <w:r>
        <w:rPr>
          <w:rFonts w:ascii="Times New Roman"/>
          <w:i/>
          <w:spacing w:val="2"/>
          <w:w w:val="105"/>
          <w:sz w:val="8"/>
        </w:rPr>
        <w:t>592</w:t>
      </w:r>
    </w:p>
    <w:p>
      <w:pPr>
        <w:tabs>
          <w:tab w:pos="2904" w:val="left" w:leader="none"/>
          <w:tab w:pos="3632" w:val="left" w:leader="none"/>
          <w:tab w:pos="4310" w:val="left" w:leader="none"/>
          <w:tab w:pos="5038" w:val="left" w:leader="none"/>
          <w:tab w:pos="5816" w:val="left" w:leader="none"/>
          <w:tab w:pos="6673" w:val="right" w:leader="none"/>
        </w:tabs>
        <w:spacing w:before="19"/>
        <w:ind w:left="0" w:right="1798" w:firstLine="0"/>
        <w:jc w:val="center"/>
        <w:rPr>
          <w:rFonts w:ascii="Times New Roman" w:hAnsi="Times New Roman"/>
          <w:sz w:val="9"/>
        </w:rPr>
      </w:pPr>
      <w:r>
        <w:rPr>
          <w:rFonts w:ascii="Times New Roman" w:hAnsi="Times New Roman"/>
          <w:w w:val="105"/>
          <w:sz w:val="9"/>
        </w:rPr>
        <w:t>Attività</w:t>
      </w:r>
      <w:r>
        <w:rPr>
          <w:rFonts w:ascii="Times New Roman" w:hAnsi="Times New Roman"/>
          <w:spacing w:val="-7"/>
          <w:w w:val="105"/>
          <w:sz w:val="9"/>
        </w:rPr>
        <w:t> </w:t>
      </w:r>
      <w:r>
        <w:rPr>
          <w:rFonts w:ascii="Times New Roman" w:hAnsi="Times New Roman"/>
          <w:w w:val="105"/>
          <w:sz w:val="9"/>
        </w:rPr>
        <w:t>finanziarie</w:t>
      </w:r>
      <w:r>
        <w:rPr>
          <w:rFonts w:ascii="Times New Roman" w:hAnsi="Times New Roman"/>
          <w:spacing w:val="-1"/>
          <w:w w:val="105"/>
          <w:sz w:val="9"/>
        </w:rPr>
        <w:t> </w:t>
      </w:r>
      <w:r>
        <w:rPr>
          <w:rFonts w:ascii="Times New Roman" w:hAnsi="Times New Roman"/>
          <w:w w:val="105"/>
          <w:sz w:val="9"/>
        </w:rPr>
        <w:t>correnti</w:t>
        <w:tab/>
        <w:t>19.247</w:t>
        <w:tab/>
        <w:t>36.036</w:t>
        <w:tab/>
        <w:t>110.647</w:t>
        <w:tab/>
        <w:t>162.925</w:t>
        <w:tab/>
        <w:t>82.195</w:t>
        <w:tab/>
        <w:t>43.961</w:t>
      </w:r>
    </w:p>
    <w:p>
      <w:pPr>
        <w:pStyle w:val="ListParagraph"/>
        <w:numPr>
          <w:ilvl w:val="0"/>
          <w:numId w:val="9"/>
        </w:numPr>
        <w:tabs>
          <w:tab w:pos="602" w:val="left" w:leader="none"/>
          <w:tab w:pos="2908" w:val="left" w:leader="none"/>
          <w:tab w:pos="3681" w:val="left" w:leader="none"/>
          <w:tab w:pos="4410" w:val="left" w:leader="none"/>
          <w:tab w:pos="5138" w:val="left" w:leader="none"/>
          <w:tab w:pos="5866" w:val="left" w:leader="none"/>
          <w:tab w:pos="6511" w:val="left" w:leader="none"/>
        </w:tabs>
        <w:spacing w:line="240" w:lineRule="auto" w:before="31" w:after="0"/>
        <w:ind w:left="602" w:right="1675" w:hanging="51"/>
        <w:jc w:val="left"/>
        <w:rPr>
          <w:rFonts w:ascii="Times New Roman" w:hAnsi="Times New Roman"/>
          <w:i/>
          <w:sz w:val="8"/>
        </w:rPr>
      </w:pPr>
      <w:r>
        <w:rPr>
          <w:rFonts w:ascii="Times New Roman" w:hAnsi="Times New Roman"/>
          <w:i/>
          <w:w w:val="105"/>
          <w:sz w:val="8"/>
        </w:rPr>
        <w:t>Attività finanziarie correnti </w:t>
      </w:r>
      <w:r>
        <w:rPr>
          <w:rFonts w:ascii="Times New Roman" w:hAnsi="Times New Roman"/>
          <w:i/>
          <w:spacing w:val="19"/>
          <w:w w:val="105"/>
          <w:sz w:val="8"/>
        </w:rPr>
        <w:t> </w:t>
      </w:r>
      <w:r>
        <w:rPr>
          <w:rFonts w:ascii="Times New Roman" w:hAnsi="Times New Roman"/>
          <w:i/>
          <w:w w:val="105"/>
          <w:sz w:val="8"/>
        </w:rPr>
        <w:t>terzi</w:t>
      </w:r>
      <w:r>
        <w:rPr>
          <w:rFonts w:ascii="Times New Roman" w:hAnsi="Times New Roman"/>
          <w:i/>
          <w:spacing w:val="2"/>
          <w:w w:val="105"/>
          <w:sz w:val="8"/>
        </w:rPr>
        <w:t> </w:t>
      </w:r>
      <w:r>
        <w:rPr>
          <w:rFonts w:ascii="Times New Roman" w:hAnsi="Times New Roman"/>
          <w:i/>
          <w:w w:val="105"/>
          <w:sz w:val="8"/>
        </w:rPr>
        <w:t>(capitale)</w:t>
        <w:tab/>
        <w:t>200</w:t>
        <w:tab/>
        <w:t>20</w:t>
        <w:tab/>
        <w:t>20</w:t>
        <w:tab/>
        <w:t>20</w:t>
        <w:tab/>
        <w:t>20</w:t>
        <w:tab/>
        <w:t>-</w:t>
      </w:r>
    </w:p>
    <w:p>
      <w:pPr>
        <w:pStyle w:val="ListParagraph"/>
        <w:numPr>
          <w:ilvl w:val="0"/>
          <w:numId w:val="9"/>
        </w:numPr>
        <w:tabs>
          <w:tab w:pos="602" w:val="left" w:leader="none"/>
          <w:tab w:pos="3014" w:val="left" w:leader="none"/>
          <w:tab w:pos="3743" w:val="left" w:leader="none"/>
          <w:tab w:pos="4472" w:val="left" w:leader="none"/>
          <w:tab w:pos="5093" w:val="left" w:leader="none"/>
          <w:tab w:pos="5822" w:val="left" w:leader="none"/>
          <w:tab w:pos="6536" w:val="right" w:leader="none"/>
        </w:tabs>
        <w:spacing w:line="240" w:lineRule="auto" w:before="30" w:after="0"/>
        <w:ind w:left="602" w:right="1678" w:hanging="51"/>
        <w:jc w:val="left"/>
        <w:rPr>
          <w:rFonts w:ascii="Times New Roman" w:hAnsi="Times New Roman"/>
          <w:i/>
          <w:sz w:val="8"/>
        </w:rPr>
      </w:pPr>
      <w:r>
        <w:rPr>
          <w:rFonts w:ascii="Times New Roman" w:hAnsi="Times New Roman"/>
          <w:i/>
          <w:w w:val="105"/>
          <w:sz w:val="8"/>
        </w:rPr>
        <w:t>Attività finanziarie correnti </w:t>
      </w:r>
      <w:r>
        <w:rPr>
          <w:rFonts w:ascii="Times New Roman" w:hAnsi="Times New Roman"/>
          <w:i/>
          <w:spacing w:val="15"/>
          <w:w w:val="105"/>
          <w:sz w:val="8"/>
        </w:rPr>
        <w:t> </w:t>
      </w:r>
      <w:r>
        <w:rPr>
          <w:rFonts w:ascii="Times New Roman" w:hAnsi="Times New Roman"/>
          <w:i/>
          <w:w w:val="105"/>
          <w:sz w:val="8"/>
        </w:rPr>
        <w:t>terzi</w:t>
      </w:r>
      <w:r>
        <w:rPr>
          <w:rFonts w:ascii="Times New Roman" w:hAnsi="Times New Roman"/>
          <w:i/>
          <w:spacing w:val="1"/>
          <w:w w:val="105"/>
          <w:sz w:val="8"/>
        </w:rPr>
        <w:t> </w:t>
      </w:r>
      <w:r>
        <w:rPr>
          <w:rFonts w:ascii="Times New Roman" w:hAnsi="Times New Roman"/>
          <w:i/>
          <w:w w:val="105"/>
          <w:sz w:val="8"/>
        </w:rPr>
        <w:t>(interessi)</w:t>
        <w:tab/>
        <w:t>-</w:t>
        <w:tab/>
        <w:t>-</w:t>
        <w:tab/>
        <w:t>-</w:t>
        <w:tab/>
        <w:t>223</w:t>
        <w:tab/>
        <w:t>215</w:t>
        <w:tab/>
        <w:t>215</w:t>
      </w:r>
    </w:p>
    <w:p>
      <w:pPr>
        <w:pStyle w:val="ListParagraph"/>
        <w:numPr>
          <w:ilvl w:val="0"/>
          <w:numId w:val="9"/>
        </w:numPr>
        <w:tabs>
          <w:tab w:pos="602" w:val="left" w:leader="none"/>
          <w:tab w:pos="2908" w:val="left" w:leader="none"/>
          <w:tab w:pos="3637" w:val="left" w:leader="none"/>
          <w:tab w:pos="4365" w:val="left" w:leader="none"/>
          <w:tab w:pos="5026" w:val="left" w:leader="none"/>
          <w:tab w:pos="5755" w:val="left" w:leader="none"/>
          <w:tab w:pos="6538" w:val="right" w:leader="none"/>
        </w:tabs>
        <w:spacing w:line="240" w:lineRule="auto" w:before="31" w:after="0"/>
        <w:ind w:left="602" w:right="1675" w:hanging="51"/>
        <w:jc w:val="left"/>
        <w:rPr>
          <w:rFonts w:ascii="Times New Roman"/>
          <w:i/>
          <w:sz w:val="8"/>
        </w:rPr>
      </w:pPr>
      <w:r>
        <w:rPr>
          <w:rFonts w:ascii="Times New Roman"/>
          <w:i/>
          <w:w w:val="105"/>
          <w:sz w:val="8"/>
        </w:rPr>
        <w:t>Finanziamenti verso</w:t>
      </w:r>
      <w:r>
        <w:rPr>
          <w:rFonts w:ascii="Times New Roman"/>
          <w:i/>
          <w:spacing w:val="10"/>
          <w:w w:val="105"/>
          <w:sz w:val="8"/>
        </w:rPr>
        <w:t> </w:t>
      </w:r>
      <w:r>
        <w:rPr>
          <w:rFonts w:ascii="Times New Roman"/>
          <w:i/>
          <w:w w:val="105"/>
          <w:sz w:val="8"/>
        </w:rPr>
        <w:t>il</w:t>
      </w:r>
      <w:r>
        <w:rPr>
          <w:rFonts w:ascii="Times New Roman"/>
          <w:i/>
          <w:spacing w:val="2"/>
          <w:w w:val="105"/>
          <w:sz w:val="8"/>
        </w:rPr>
        <w:t> </w:t>
      </w:r>
      <w:r>
        <w:rPr>
          <w:rFonts w:ascii="Times New Roman"/>
          <w:i/>
          <w:w w:val="105"/>
          <w:sz w:val="8"/>
        </w:rPr>
        <w:t>Gruppo</w:t>
        <w:tab/>
        <w:t>161</w:t>
        <w:tab/>
        <w:t>857</w:t>
        <w:tab/>
        <w:t>390</w:t>
        <w:tab/>
        <w:t>1.776</w:t>
        <w:tab/>
        <w:t>1.400</w:t>
        <w:tab/>
        <w:t>2.370</w:t>
      </w:r>
    </w:p>
    <w:p>
      <w:pPr>
        <w:tabs>
          <w:tab w:pos="2795" w:val="left" w:leader="none"/>
          <w:tab w:pos="3524" w:val="left" w:leader="none"/>
          <w:tab w:pos="4208" w:val="left" w:leader="none"/>
          <w:tab w:pos="4936" w:val="left" w:leader="none"/>
          <w:tab w:pos="5710" w:val="left" w:leader="none"/>
          <w:tab w:pos="6536" w:val="right" w:leader="none"/>
        </w:tabs>
        <w:spacing w:before="31"/>
        <w:ind w:left="0" w:right="1678" w:firstLine="0"/>
        <w:jc w:val="center"/>
        <w:rPr>
          <w:rFonts w:ascii="Times New Roman"/>
          <w:i/>
          <w:sz w:val="8"/>
        </w:rPr>
      </w:pPr>
      <w:r>
        <w:rPr>
          <w:rFonts w:ascii="Times New Roman"/>
          <w:i/>
          <w:w w:val="105"/>
          <w:sz w:val="8"/>
        </w:rPr>
        <w:t>- Crediti per</w:t>
      </w:r>
      <w:r>
        <w:rPr>
          <w:rFonts w:ascii="Times New Roman"/>
          <w:i/>
          <w:spacing w:val="10"/>
          <w:w w:val="105"/>
          <w:sz w:val="8"/>
        </w:rPr>
        <w:t> </w:t>
      </w:r>
      <w:r>
        <w:rPr>
          <w:rFonts w:ascii="Times New Roman"/>
          <w:i/>
          <w:w w:val="105"/>
          <w:sz w:val="8"/>
        </w:rPr>
        <w:t>cash</w:t>
      </w:r>
      <w:r>
        <w:rPr>
          <w:rFonts w:ascii="Times New Roman"/>
          <w:i/>
          <w:spacing w:val="7"/>
          <w:w w:val="105"/>
          <w:sz w:val="8"/>
        </w:rPr>
        <w:t> </w:t>
      </w:r>
      <w:r>
        <w:rPr>
          <w:rFonts w:ascii="Times New Roman"/>
          <w:i/>
          <w:w w:val="105"/>
          <w:sz w:val="8"/>
        </w:rPr>
        <w:t>pooling</w:t>
        <w:tab/>
        <w:t>18.886</w:t>
        <w:tab/>
        <w:t>35.158</w:t>
        <w:tab/>
        <w:t>110.237</w:t>
        <w:tab/>
        <w:t>160.906</w:t>
        <w:tab/>
      </w:r>
      <w:r>
        <w:rPr>
          <w:rFonts w:ascii="Times New Roman"/>
          <w:i/>
          <w:spacing w:val="2"/>
          <w:w w:val="105"/>
          <w:sz w:val="8"/>
        </w:rPr>
        <w:t>80.561</w:t>
        <w:tab/>
      </w:r>
      <w:r>
        <w:rPr>
          <w:rFonts w:ascii="Times New Roman"/>
          <w:i/>
          <w:w w:val="105"/>
          <w:sz w:val="8"/>
        </w:rPr>
        <w:t>41.377</w:t>
      </w:r>
    </w:p>
    <w:p>
      <w:pPr>
        <w:tabs>
          <w:tab w:pos="3026" w:val="left" w:leader="none"/>
          <w:tab w:pos="3754" w:val="left" w:leader="none"/>
          <w:tab w:pos="4601" w:val="left" w:leader="none"/>
          <w:tab w:pos="5329" w:val="left" w:leader="none"/>
          <w:tab w:pos="5990" w:val="left" w:leader="none"/>
          <w:tab w:pos="6673" w:val="right" w:leader="none"/>
        </w:tabs>
        <w:spacing w:before="21"/>
        <w:ind w:left="0" w:right="1798" w:firstLine="0"/>
        <w:jc w:val="center"/>
        <w:rPr>
          <w:rFonts w:ascii="Times New Roman" w:hAnsi="Times New Roman"/>
          <w:sz w:val="9"/>
        </w:rPr>
      </w:pPr>
      <w:r>
        <w:rPr>
          <w:rFonts w:ascii="Times New Roman" w:hAnsi="Times New Roman"/>
          <w:w w:val="105"/>
          <w:sz w:val="9"/>
        </w:rPr>
        <w:t>Attività per</w:t>
      </w:r>
      <w:r>
        <w:rPr>
          <w:rFonts w:ascii="Times New Roman" w:hAnsi="Times New Roman"/>
          <w:spacing w:val="-5"/>
          <w:w w:val="105"/>
          <w:sz w:val="9"/>
        </w:rPr>
        <w:t> </w:t>
      </w:r>
      <w:r>
        <w:rPr>
          <w:rFonts w:ascii="Times New Roman" w:hAnsi="Times New Roman"/>
          <w:w w:val="105"/>
          <w:sz w:val="9"/>
        </w:rPr>
        <w:t>imposte</w:t>
      </w:r>
      <w:r>
        <w:rPr>
          <w:rFonts w:ascii="Times New Roman" w:hAnsi="Times New Roman"/>
          <w:spacing w:val="1"/>
          <w:w w:val="105"/>
          <w:sz w:val="9"/>
        </w:rPr>
        <w:t> </w:t>
      </w:r>
      <w:r>
        <w:rPr>
          <w:rFonts w:ascii="Times New Roman" w:hAnsi="Times New Roman"/>
          <w:w w:val="105"/>
          <w:sz w:val="9"/>
        </w:rPr>
        <w:t>correnti</w:t>
        <w:tab/>
        <w:t>588</w:t>
        <w:tab/>
        <w:t>311</w:t>
        <w:tab/>
        <w:t>-</w:t>
        <w:tab/>
        <w:t>-</w:t>
        <w:tab/>
        <w:t>65</w:t>
        <w:tab/>
      </w:r>
      <w:r>
        <w:rPr>
          <w:rFonts w:ascii="Times New Roman" w:hAnsi="Times New Roman"/>
          <w:spacing w:val="2"/>
          <w:w w:val="105"/>
          <w:sz w:val="9"/>
        </w:rPr>
        <w:t>164</w:t>
      </w:r>
    </w:p>
    <w:p>
      <w:pPr>
        <w:tabs>
          <w:tab w:pos="2903" w:val="left" w:leader="none"/>
          <w:tab w:pos="3682" w:val="left" w:leader="none"/>
          <w:tab w:pos="4410" w:val="left" w:leader="none"/>
          <w:tab w:pos="5139" w:val="left" w:leader="none"/>
          <w:tab w:pos="5867" w:val="left" w:leader="none"/>
          <w:tab w:pos="6673" w:val="right" w:leader="none"/>
        </w:tabs>
        <w:spacing w:before="19"/>
        <w:ind w:left="0" w:right="1798" w:firstLine="0"/>
        <w:jc w:val="center"/>
        <w:rPr>
          <w:rFonts w:ascii="Times New Roman" w:hAnsi="Times New Roman"/>
          <w:sz w:val="9"/>
        </w:rPr>
      </w:pPr>
      <w:r>
        <w:rPr>
          <w:rFonts w:ascii="Times New Roman" w:hAnsi="Times New Roman"/>
          <w:w w:val="105"/>
          <w:sz w:val="9"/>
        </w:rPr>
        <w:t>Disponibilità liquide e</w:t>
      </w:r>
      <w:r>
        <w:rPr>
          <w:rFonts w:ascii="Times New Roman" w:hAnsi="Times New Roman"/>
          <w:spacing w:val="-12"/>
          <w:w w:val="105"/>
          <w:sz w:val="9"/>
        </w:rPr>
        <w:t> </w:t>
      </w:r>
      <w:r>
        <w:rPr>
          <w:rFonts w:ascii="Times New Roman" w:hAnsi="Times New Roman"/>
          <w:w w:val="105"/>
          <w:sz w:val="9"/>
        </w:rPr>
        <w:t>mezzi</w:t>
      </w:r>
      <w:r>
        <w:rPr>
          <w:rFonts w:ascii="Times New Roman" w:hAnsi="Times New Roman"/>
          <w:spacing w:val="-3"/>
          <w:w w:val="105"/>
          <w:sz w:val="9"/>
        </w:rPr>
        <w:t> </w:t>
      </w:r>
      <w:r>
        <w:rPr>
          <w:rFonts w:ascii="Times New Roman" w:hAnsi="Times New Roman"/>
          <w:w w:val="105"/>
          <w:sz w:val="9"/>
        </w:rPr>
        <w:t>equivalenti</w:t>
        <w:tab/>
        <w:t>16.131</w:t>
        <w:tab/>
        <w:t>9.936</w:t>
        <w:tab/>
        <w:t>4.742</w:t>
        <w:tab/>
        <w:t>4.818</w:t>
        <w:tab/>
        <w:t>3.209</w:t>
        <w:tab/>
        <w:t>9.733</w:t>
      </w:r>
    </w:p>
    <w:p>
      <w:pPr>
        <w:tabs>
          <w:tab w:pos="2902" w:val="left" w:leader="none"/>
          <w:tab w:pos="3580" w:val="left" w:leader="none"/>
          <w:tab w:pos="4309" w:val="left" w:leader="none"/>
          <w:tab w:pos="5037" w:val="left" w:leader="none"/>
          <w:tab w:pos="5766" w:val="left" w:leader="none"/>
          <w:tab w:pos="6673" w:val="right" w:leader="none"/>
        </w:tabs>
        <w:spacing w:before="62"/>
        <w:ind w:left="0" w:right="1798" w:firstLine="0"/>
        <w:jc w:val="center"/>
        <w:rPr>
          <w:rFonts w:ascii="Times New Roman" w:hAnsi="Times New Roman"/>
          <w:b/>
          <w:sz w:val="9"/>
        </w:rPr>
      </w:pPr>
      <w:r>
        <w:rPr/>
        <w:pict>
          <v:group style="position:absolute;margin-left:106.32pt;margin-top:10.241613pt;width:335.65pt;height:6.45pt;mso-position-horizontal-relative:page;mso-position-vertical-relative:paragraph;z-index:2080" coordorigin="2126,205" coordsize="6713,129">
            <v:rect style="position:absolute;left:2126;top:205;width:6713;height:128" filled="true" fillcolor="#888b8e" stroked="false">
              <v:fill type="solid"/>
            </v:rect>
            <v:shape style="position:absolute;left:2143;top:224;width:612;height:106" type="#_x0000_t202" filled="false" stroked="false">
              <v:textbox inset="0,0,0,0">
                <w:txbxContent>
                  <w:p>
                    <w:pPr>
                      <w:spacing w:before="1"/>
                      <w:ind w:left="0" w:right="0" w:firstLine="0"/>
                      <w:jc w:val="left"/>
                      <w:rPr>
                        <w:rFonts w:ascii="Times New Roman" w:hAnsi="Times New Roman"/>
                        <w:b/>
                        <w:sz w:val="9"/>
                      </w:rPr>
                    </w:pPr>
                    <w:r>
                      <w:rPr>
                        <w:rFonts w:ascii="Times New Roman" w:hAnsi="Times New Roman"/>
                        <w:b/>
                        <w:color w:val="FFFFFF"/>
                        <w:w w:val="105"/>
                        <w:sz w:val="9"/>
                      </w:rPr>
                      <w:t>Totale attività</w:t>
                    </w:r>
                  </w:p>
                </w:txbxContent>
              </v:textbox>
              <w10:wrap type="none"/>
            </v:shape>
            <v:shape style="position:absolute;left:5046;top:224;width:294;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85.701</w:t>
                    </w:r>
                  </w:p>
                </w:txbxContent>
              </v:textbox>
              <w10:wrap type="none"/>
            </v:shape>
            <v:shape style="position:absolute;left:5724;top:224;width:343;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205.318</w:t>
                    </w:r>
                  </w:p>
                </w:txbxContent>
              </v:textbox>
              <w10:wrap type="none"/>
            </v:shape>
            <v:shape style="position:absolute;left:6452;top:224;width:346;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226.639</w:t>
                    </w:r>
                  </w:p>
                </w:txbxContent>
              </v:textbox>
              <w10:wrap type="none"/>
            </v:shape>
            <v:shape style="position:absolute;left:7181;top:224;width:346;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264.114</w:t>
                    </w:r>
                  </w:p>
                </w:txbxContent>
              </v:textbox>
              <w10:wrap type="none"/>
            </v:shape>
            <v:shape style="position:absolute;left:7909;top:224;width:346;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273.788</w:t>
                    </w:r>
                  </w:p>
                </w:txbxContent>
              </v:textbox>
              <w10:wrap type="none"/>
            </v:shape>
            <v:shape style="position:absolute;left:8492;top:224;width:344;height:106" type="#_x0000_t202" filled="false" stroked="false">
              <v:textbox inset="0,0,0,0">
                <w:txbxContent>
                  <w:p>
                    <w:pPr>
                      <w:spacing w:before="1"/>
                      <w:ind w:left="0" w:right="0" w:firstLine="0"/>
                      <w:jc w:val="left"/>
                      <w:rPr>
                        <w:rFonts w:ascii="Times New Roman"/>
                        <w:b/>
                        <w:sz w:val="9"/>
                      </w:rPr>
                    </w:pPr>
                    <w:r>
                      <w:rPr>
                        <w:rFonts w:ascii="Times New Roman"/>
                        <w:b/>
                        <w:color w:val="FFFFFF"/>
                        <w:w w:val="105"/>
                        <w:sz w:val="9"/>
                      </w:rPr>
                      <w:t>269.706</w:t>
                    </w:r>
                  </w:p>
                </w:txbxContent>
              </v:textbox>
              <w10:wrap type="none"/>
            </v:shape>
            <w10:wrap type="none"/>
          </v:group>
        </w:pict>
      </w:r>
      <w:r>
        <w:rPr/>
        <w:pict>
          <v:group style="position:absolute;margin-left:230.25pt;margin-top:1.971613pt;width:211.9pt;height:.45pt;mso-position-horizontal-relative:page;mso-position-vertical-relative:paragraph;z-index:2104" coordorigin="4605,39" coordsize="4238,9">
            <v:line style="position:absolute" from="4608,40" to="8839,40" stroked="true" strokeweight=".06pt" strokecolor="#000000">
              <v:stroke dashstyle="solid"/>
            </v:line>
            <v:line style="position:absolute" from="4608,45" to="8839,45" stroked="true" strokeweight=".299990pt" strokecolor="#000000">
              <v:stroke dashstyle="solid"/>
            </v:line>
            <w10:wrap type="none"/>
          </v:group>
        </w:pict>
      </w:r>
      <w:r>
        <w:rPr>
          <w:rFonts w:ascii="Times New Roman" w:hAnsi="Times New Roman"/>
          <w:b/>
          <w:w w:val="105"/>
          <w:sz w:val="9"/>
        </w:rPr>
        <w:t>Totale</w:t>
      </w:r>
      <w:r>
        <w:rPr>
          <w:rFonts w:ascii="Times New Roman" w:hAnsi="Times New Roman"/>
          <w:b/>
          <w:spacing w:val="7"/>
          <w:w w:val="105"/>
          <w:sz w:val="9"/>
        </w:rPr>
        <w:t> </w:t>
      </w:r>
      <w:r>
        <w:rPr>
          <w:rFonts w:ascii="Times New Roman" w:hAnsi="Times New Roman"/>
          <w:b/>
          <w:w w:val="105"/>
          <w:sz w:val="9"/>
        </w:rPr>
        <w:t>attività correnti</w:t>
        <w:tab/>
        <w:t>58.949</w:t>
        <w:tab/>
        <w:t>141.075</w:t>
        <w:tab/>
        <w:t>161.379</w:t>
        <w:tab/>
        <w:t>207.602</w:t>
        <w:tab/>
        <w:t>123.081</w:t>
        <w:tab/>
        <w:t>110.694</w:t>
      </w:r>
    </w:p>
    <w:p>
      <w:pPr>
        <w:pStyle w:val="Heading2"/>
        <w:spacing w:before="436"/>
        <w:ind w:left="1871"/>
        <w:jc w:val="left"/>
      </w:pPr>
      <w:r>
        <w:rPr/>
        <w:t>Rapporti  economici intercompany/soci</w:t>
      </w:r>
    </w:p>
    <w:p>
      <w:pPr>
        <w:spacing w:after="0"/>
        <w:jc w:val="left"/>
        <w:sectPr>
          <w:pgSz w:w="12240" w:h="15840"/>
          <w:pgMar w:header="0" w:footer="790" w:top="1500" w:bottom="980" w:left="1720" w:right="1200"/>
        </w:sectPr>
      </w:pPr>
    </w:p>
    <w:p>
      <w:pPr>
        <w:pStyle w:val="BodyText"/>
        <w:spacing w:before="9"/>
        <w:rPr>
          <w:b/>
          <w:sz w:val="9"/>
        </w:rPr>
      </w:pPr>
    </w:p>
    <w:tbl>
      <w:tblPr>
        <w:tblW w:w="0" w:type="auto"/>
        <w:jc w:val="left"/>
        <w:tblInd w:w="410"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631"/>
        <w:gridCol w:w="1503"/>
        <w:gridCol w:w="709"/>
        <w:gridCol w:w="798"/>
        <w:gridCol w:w="2550"/>
      </w:tblGrid>
      <w:tr>
        <w:trPr>
          <w:trHeight w:val="215" w:hRule="exact"/>
        </w:trPr>
        <w:tc>
          <w:tcPr>
            <w:tcW w:w="631" w:type="dxa"/>
            <w:shd w:val="clear" w:color="auto" w:fill="A03033"/>
          </w:tcPr>
          <w:p>
            <w:pPr>
              <w:pStyle w:val="TableParagraph"/>
              <w:spacing w:before="43"/>
              <w:ind w:left="34" w:right="34"/>
              <w:jc w:val="center"/>
              <w:rPr>
                <w:b/>
                <w:sz w:val="9"/>
              </w:rPr>
            </w:pPr>
            <w:r>
              <w:rPr>
                <w:b/>
                <w:color w:val="FFFFFF"/>
                <w:w w:val="125"/>
                <w:sz w:val="9"/>
              </w:rPr>
              <w:t>Data</w:t>
            </w:r>
          </w:p>
        </w:tc>
        <w:tc>
          <w:tcPr>
            <w:tcW w:w="1503" w:type="dxa"/>
            <w:shd w:val="clear" w:color="auto" w:fill="A03033"/>
          </w:tcPr>
          <w:p>
            <w:pPr>
              <w:pStyle w:val="TableParagraph"/>
              <w:spacing w:before="43"/>
              <w:ind w:left="531" w:right="587"/>
              <w:jc w:val="center"/>
              <w:rPr>
                <w:b/>
                <w:sz w:val="9"/>
              </w:rPr>
            </w:pPr>
            <w:r>
              <w:rPr>
                <w:b/>
                <w:color w:val="FFFFFF"/>
                <w:w w:val="125"/>
                <w:sz w:val="9"/>
              </w:rPr>
              <w:t>Società</w:t>
            </w:r>
          </w:p>
        </w:tc>
        <w:tc>
          <w:tcPr>
            <w:tcW w:w="709" w:type="dxa"/>
            <w:shd w:val="clear" w:color="auto" w:fill="A03033"/>
          </w:tcPr>
          <w:p>
            <w:pPr>
              <w:pStyle w:val="TableParagraph"/>
              <w:spacing w:before="43"/>
              <w:ind w:right="74"/>
              <w:jc w:val="right"/>
              <w:rPr>
                <w:b/>
                <w:sz w:val="9"/>
              </w:rPr>
            </w:pPr>
            <w:r>
              <w:rPr>
                <w:b/>
                <w:color w:val="FFFFFF"/>
                <w:w w:val="125"/>
                <w:sz w:val="9"/>
              </w:rPr>
              <w:t>Ammontare</w:t>
            </w:r>
          </w:p>
        </w:tc>
        <w:tc>
          <w:tcPr>
            <w:tcW w:w="798" w:type="dxa"/>
            <w:shd w:val="clear" w:color="auto" w:fill="A03033"/>
          </w:tcPr>
          <w:p>
            <w:pPr>
              <w:pStyle w:val="TableParagraph"/>
              <w:spacing w:before="43"/>
              <w:ind w:left="42"/>
              <w:rPr>
                <w:b/>
                <w:sz w:val="9"/>
              </w:rPr>
            </w:pPr>
            <w:r>
              <w:rPr>
                <w:b/>
                <w:color w:val="FFFFFF"/>
                <w:w w:val="125"/>
                <w:sz w:val="9"/>
              </w:rPr>
              <w:t>Natura</w:t>
            </w:r>
          </w:p>
        </w:tc>
        <w:tc>
          <w:tcPr>
            <w:tcW w:w="2550" w:type="dxa"/>
            <w:tcBorders>
              <w:right w:val="single" w:sz="4" w:space="0" w:color="FFFFFF"/>
            </w:tcBorders>
            <w:shd w:val="clear" w:color="auto" w:fill="A03033"/>
          </w:tcPr>
          <w:p>
            <w:pPr>
              <w:pStyle w:val="TableParagraph"/>
              <w:spacing w:before="43"/>
              <w:ind w:left="1140" w:right="1139"/>
              <w:jc w:val="center"/>
              <w:rPr>
                <w:b/>
                <w:sz w:val="9"/>
              </w:rPr>
            </w:pPr>
            <w:r>
              <w:rPr>
                <w:b/>
                <w:color w:val="FFFFFF"/>
                <w:w w:val="125"/>
                <w:sz w:val="9"/>
              </w:rPr>
              <w:t>Note</w:t>
            </w:r>
          </w:p>
        </w:tc>
      </w:tr>
      <w:tr>
        <w:trPr>
          <w:trHeight w:val="118" w:hRule="exact"/>
        </w:trPr>
        <w:tc>
          <w:tcPr>
            <w:tcW w:w="631" w:type="dxa"/>
          </w:tcPr>
          <w:p>
            <w:pPr/>
          </w:p>
        </w:tc>
        <w:tc>
          <w:tcPr>
            <w:tcW w:w="1503" w:type="dxa"/>
          </w:tcPr>
          <w:p>
            <w:pPr>
              <w:pStyle w:val="TableParagraph"/>
              <w:spacing w:before="3"/>
              <w:ind w:left="28"/>
              <w:rPr>
                <w:b/>
                <w:sz w:val="9"/>
              </w:rPr>
            </w:pPr>
            <w:r>
              <w:rPr>
                <w:b/>
                <w:w w:val="125"/>
                <w:sz w:val="9"/>
              </w:rPr>
              <w:t>Ricavi</w:t>
            </w:r>
          </w:p>
        </w:tc>
        <w:tc>
          <w:tcPr>
            <w:tcW w:w="709" w:type="dxa"/>
          </w:tcPr>
          <w:p>
            <w:pPr>
              <w:pStyle w:val="TableParagraph"/>
              <w:spacing w:before="3"/>
              <w:ind w:right="40"/>
              <w:jc w:val="right"/>
              <w:rPr>
                <w:b/>
                <w:sz w:val="9"/>
              </w:rPr>
            </w:pPr>
            <w:r>
              <w:rPr>
                <w:b/>
                <w:w w:val="125"/>
                <w:sz w:val="9"/>
              </w:rPr>
              <w:t>131.145.725</w:t>
            </w:r>
          </w:p>
        </w:tc>
        <w:tc>
          <w:tcPr>
            <w:tcW w:w="798" w:type="dxa"/>
          </w:tcPr>
          <w:p>
            <w:pPr/>
          </w:p>
        </w:tc>
        <w:tc>
          <w:tcPr>
            <w:tcW w:w="2550" w:type="dxa"/>
          </w:tcPr>
          <w:p>
            <w:pPr/>
          </w:p>
        </w:tc>
      </w:tr>
      <w:tr>
        <w:trPr>
          <w:trHeight w:val="127" w:hRule="exact"/>
        </w:trPr>
        <w:tc>
          <w:tcPr>
            <w:tcW w:w="631" w:type="dxa"/>
          </w:tcPr>
          <w:p>
            <w:pPr/>
          </w:p>
        </w:tc>
        <w:tc>
          <w:tcPr>
            <w:tcW w:w="1503" w:type="dxa"/>
          </w:tcPr>
          <w:p>
            <w:pPr>
              <w:pStyle w:val="TableParagraph"/>
              <w:ind w:left="28"/>
              <w:rPr>
                <w:sz w:val="9"/>
              </w:rPr>
            </w:pPr>
            <w:r>
              <w:rPr>
                <w:w w:val="125"/>
                <w:sz w:val="9"/>
              </w:rPr>
              <w:t>M&amp;G International</w:t>
            </w:r>
          </w:p>
        </w:tc>
        <w:tc>
          <w:tcPr>
            <w:tcW w:w="709" w:type="dxa"/>
          </w:tcPr>
          <w:p>
            <w:pPr>
              <w:pStyle w:val="TableParagraph"/>
              <w:ind w:right="40"/>
              <w:jc w:val="right"/>
              <w:rPr>
                <w:sz w:val="9"/>
              </w:rPr>
            </w:pPr>
            <w:r>
              <w:rPr>
                <w:w w:val="125"/>
                <w:sz w:val="9"/>
              </w:rPr>
              <w:t>400.000</w:t>
            </w:r>
          </w:p>
        </w:tc>
        <w:tc>
          <w:tcPr>
            <w:tcW w:w="798" w:type="dxa"/>
          </w:tcPr>
          <w:p>
            <w:pPr>
              <w:pStyle w:val="TableParagraph"/>
              <w:ind w:left="80"/>
              <w:rPr>
                <w:sz w:val="9"/>
              </w:rPr>
            </w:pPr>
            <w:r>
              <w:rPr>
                <w:w w:val="125"/>
                <w:sz w:val="9"/>
              </w:rPr>
              <w:t>Commerciali</w:t>
            </w:r>
          </w:p>
        </w:tc>
        <w:tc>
          <w:tcPr>
            <w:tcW w:w="2550" w:type="dxa"/>
          </w:tcPr>
          <w:p>
            <w:pPr>
              <w:pStyle w:val="TableParagraph"/>
              <w:ind w:left="74"/>
              <w:rPr>
                <w:sz w:val="9"/>
              </w:rPr>
            </w:pPr>
            <w:r>
              <w:rPr>
                <w:w w:val="125"/>
                <w:sz w:val="9"/>
              </w:rPr>
              <w:t>Servizi resi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M&amp;G Polymers Usa</w:t>
            </w:r>
          </w:p>
        </w:tc>
        <w:tc>
          <w:tcPr>
            <w:tcW w:w="709" w:type="dxa"/>
          </w:tcPr>
          <w:p>
            <w:pPr>
              <w:pStyle w:val="TableParagraph"/>
              <w:spacing w:before="12"/>
              <w:ind w:right="153"/>
              <w:jc w:val="right"/>
              <w:rPr>
                <w:sz w:val="9"/>
              </w:rPr>
            </w:pPr>
            <w:r>
              <w:rPr>
                <w:w w:val="125"/>
                <w:sz w:val="9"/>
              </w:rPr>
              <w:t>-</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74"/>
              <w:rPr>
                <w:sz w:val="9"/>
              </w:rPr>
            </w:pPr>
            <w:r>
              <w:rPr>
                <w:w w:val="125"/>
                <w:sz w:val="9"/>
              </w:rPr>
              <w:t>Servizi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M&amp;G Polimeri Italia</w:t>
            </w:r>
          </w:p>
        </w:tc>
        <w:tc>
          <w:tcPr>
            <w:tcW w:w="709" w:type="dxa"/>
          </w:tcPr>
          <w:p>
            <w:pPr>
              <w:pStyle w:val="TableParagraph"/>
              <w:spacing w:before="12"/>
              <w:ind w:right="41"/>
              <w:jc w:val="right"/>
              <w:rPr>
                <w:sz w:val="9"/>
              </w:rPr>
            </w:pPr>
            <w:r>
              <w:rPr>
                <w:w w:val="125"/>
                <w:sz w:val="9"/>
              </w:rPr>
              <w:t>80.000</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74"/>
              <w:rPr>
                <w:sz w:val="9"/>
              </w:rPr>
            </w:pPr>
            <w:r>
              <w:rPr>
                <w:w w:val="125"/>
                <w:sz w:val="9"/>
              </w:rPr>
              <w:t>Servizi resi</w:t>
            </w:r>
          </w:p>
        </w:tc>
      </w:tr>
      <w:tr>
        <w:trPr>
          <w:trHeight w:val="127" w:hRule="exact"/>
        </w:trPr>
        <w:tc>
          <w:tcPr>
            <w:tcW w:w="631" w:type="dxa"/>
          </w:tcPr>
          <w:p>
            <w:pPr/>
          </w:p>
        </w:tc>
        <w:tc>
          <w:tcPr>
            <w:tcW w:w="1503" w:type="dxa"/>
          </w:tcPr>
          <w:p>
            <w:pPr>
              <w:pStyle w:val="TableParagraph"/>
              <w:spacing w:before="12"/>
              <w:ind w:left="28"/>
              <w:rPr>
                <w:sz w:val="9"/>
              </w:rPr>
            </w:pPr>
            <w:r>
              <w:rPr>
                <w:w w:val="125"/>
                <w:sz w:val="9"/>
              </w:rPr>
              <w:t>Acetati</w:t>
            </w:r>
          </w:p>
        </w:tc>
        <w:tc>
          <w:tcPr>
            <w:tcW w:w="709" w:type="dxa"/>
          </w:tcPr>
          <w:p>
            <w:pPr>
              <w:pStyle w:val="TableParagraph"/>
              <w:spacing w:before="12"/>
              <w:ind w:right="40"/>
              <w:jc w:val="right"/>
              <w:rPr>
                <w:sz w:val="9"/>
              </w:rPr>
            </w:pPr>
            <w:r>
              <w:rPr>
                <w:w w:val="125"/>
                <w:sz w:val="9"/>
              </w:rPr>
              <w:t>464</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74"/>
              <w:rPr>
                <w:sz w:val="9"/>
              </w:rPr>
            </w:pPr>
            <w:r>
              <w:rPr>
                <w:w w:val="125"/>
                <w:sz w:val="9"/>
              </w:rPr>
              <w:t>Servizi resi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M&amp;G Usa Coorporation</w:t>
            </w:r>
          </w:p>
        </w:tc>
        <w:tc>
          <w:tcPr>
            <w:tcW w:w="709" w:type="dxa"/>
          </w:tcPr>
          <w:p>
            <w:pPr>
              <w:pStyle w:val="TableParagraph"/>
              <w:spacing w:before="12"/>
              <w:ind w:right="40"/>
              <w:jc w:val="right"/>
              <w:rPr>
                <w:sz w:val="9"/>
              </w:rPr>
            </w:pPr>
            <w:r>
              <w:rPr>
                <w:w w:val="125"/>
                <w:sz w:val="9"/>
              </w:rPr>
              <w:t>104.658.276</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74"/>
              <w:rPr>
                <w:sz w:val="9"/>
              </w:rPr>
            </w:pPr>
            <w:r>
              <w:rPr>
                <w:w w:val="125"/>
                <w:sz w:val="9"/>
              </w:rPr>
              <w:t>Cessione licenze</w:t>
            </w:r>
          </w:p>
        </w:tc>
      </w:tr>
      <w:tr>
        <w:trPr>
          <w:trHeight w:val="128" w:hRule="exact"/>
        </w:trPr>
        <w:tc>
          <w:tcPr>
            <w:tcW w:w="631" w:type="dxa"/>
          </w:tcPr>
          <w:p>
            <w:pPr/>
          </w:p>
        </w:tc>
        <w:tc>
          <w:tcPr>
            <w:tcW w:w="1503" w:type="dxa"/>
          </w:tcPr>
          <w:p>
            <w:pPr>
              <w:pStyle w:val="TableParagraph"/>
              <w:spacing w:before="12"/>
              <w:ind w:left="28"/>
              <w:rPr>
                <w:sz w:val="9"/>
              </w:rPr>
            </w:pPr>
            <w:r>
              <w:rPr>
                <w:w w:val="125"/>
                <w:sz w:val="9"/>
              </w:rPr>
              <w:t>Chemtex International Inc</w:t>
            </w:r>
          </w:p>
        </w:tc>
        <w:tc>
          <w:tcPr>
            <w:tcW w:w="709" w:type="dxa"/>
          </w:tcPr>
          <w:p>
            <w:pPr>
              <w:pStyle w:val="TableParagraph"/>
              <w:spacing w:before="12"/>
              <w:ind w:right="40"/>
              <w:jc w:val="right"/>
              <w:rPr>
                <w:sz w:val="9"/>
              </w:rPr>
            </w:pPr>
            <w:r>
              <w:rPr>
                <w:w w:val="125"/>
                <w:sz w:val="9"/>
              </w:rPr>
              <w:t>86.724</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74"/>
              <w:rPr>
                <w:sz w:val="9"/>
              </w:rPr>
            </w:pPr>
            <w:r>
              <w:rPr>
                <w:w w:val="125"/>
                <w:sz w:val="9"/>
              </w:rPr>
              <w:t>Servizi resi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Chemtex Shanghai Cina</w:t>
            </w:r>
          </w:p>
        </w:tc>
        <w:tc>
          <w:tcPr>
            <w:tcW w:w="709" w:type="dxa"/>
          </w:tcPr>
          <w:p>
            <w:pPr>
              <w:pStyle w:val="TableParagraph"/>
              <w:spacing w:before="12"/>
              <w:ind w:right="152"/>
              <w:jc w:val="right"/>
              <w:rPr>
                <w:sz w:val="9"/>
              </w:rPr>
            </w:pPr>
            <w:r>
              <w:rPr>
                <w:w w:val="125"/>
                <w:sz w:val="9"/>
              </w:rPr>
              <w:t>-</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74"/>
              <w:rPr>
                <w:sz w:val="9"/>
              </w:rPr>
            </w:pPr>
            <w:r>
              <w:rPr>
                <w:w w:val="125"/>
                <w:sz w:val="9"/>
              </w:rPr>
              <w:t>Servizi resi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M&amp;G Polimeros Brasile</w:t>
            </w:r>
          </w:p>
        </w:tc>
        <w:tc>
          <w:tcPr>
            <w:tcW w:w="709" w:type="dxa"/>
          </w:tcPr>
          <w:p>
            <w:pPr>
              <w:pStyle w:val="TableParagraph"/>
              <w:spacing w:before="12"/>
              <w:ind w:right="154"/>
              <w:jc w:val="right"/>
              <w:rPr>
                <w:sz w:val="9"/>
              </w:rPr>
            </w:pPr>
            <w:r>
              <w:rPr>
                <w:w w:val="125"/>
                <w:sz w:val="9"/>
              </w:rPr>
              <w:t>-</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74"/>
              <w:rPr>
                <w:sz w:val="9"/>
              </w:rPr>
            </w:pPr>
            <w:r>
              <w:rPr>
                <w:w w:val="125"/>
                <w:sz w:val="9"/>
              </w:rPr>
              <w:t>Servizi resi</w:t>
            </w:r>
          </w:p>
        </w:tc>
      </w:tr>
      <w:tr>
        <w:trPr>
          <w:trHeight w:val="127" w:hRule="exact"/>
        </w:trPr>
        <w:tc>
          <w:tcPr>
            <w:tcW w:w="631" w:type="dxa"/>
          </w:tcPr>
          <w:p>
            <w:pPr/>
          </w:p>
        </w:tc>
        <w:tc>
          <w:tcPr>
            <w:tcW w:w="1503" w:type="dxa"/>
          </w:tcPr>
          <w:p>
            <w:pPr>
              <w:pStyle w:val="TableParagraph"/>
              <w:spacing w:before="12"/>
              <w:ind w:left="28"/>
              <w:rPr>
                <w:sz w:val="9"/>
              </w:rPr>
            </w:pPr>
            <w:r>
              <w:rPr>
                <w:w w:val="125"/>
                <w:sz w:val="9"/>
              </w:rPr>
              <w:t>M&amp;G Finanziaria</w:t>
            </w:r>
          </w:p>
        </w:tc>
        <w:tc>
          <w:tcPr>
            <w:tcW w:w="709" w:type="dxa"/>
          </w:tcPr>
          <w:p>
            <w:pPr>
              <w:pStyle w:val="TableParagraph"/>
              <w:spacing w:before="12"/>
              <w:ind w:right="40"/>
              <w:jc w:val="right"/>
              <w:rPr>
                <w:sz w:val="9"/>
              </w:rPr>
            </w:pPr>
            <w:r>
              <w:rPr>
                <w:w w:val="125"/>
                <w:sz w:val="9"/>
              </w:rPr>
              <w:t>5.407.348</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74"/>
              <w:rPr>
                <w:sz w:val="9"/>
              </w:rPr>
            </w:pPr>
            <w:r>
              <w:rPr>
                <w:w w:val="125"/>
                <w:sz w:val="9"/>
              </w:rPr>
              <w:t>Interessi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M&amp;G Finanziaria</w:t>
            </w:r>
          </w:p>
        </w:tc>
        <w:tc>
          <w:tcPr>
            <w:tcW w:w="709" w:type="dxa"/>
          </w:tcPr>
          <w:p>
            <w:pPr>
              <w:pStyle w:val="TableParagraph"/>
              <w:spacing w:before="12"/>
              <w:ind w:right="40"/>
              <w:jc w:val="right"/>
              <w:rPr>
                <w:sz w:val="9"/>
              </w:rPr>
            </w:pPr>
            <w:r>
              <w:rPr>
                <w:w w:val="125"/>
                <w:sz w:val="9"/>
              </w:rPr>
              <w:t>1.137.583</w:t>
            </w:r>
          </w:p>
        </w:tc>
        <w:tc>
          <w:tcPr>
            <w:tcW w:w="798" w:type="dxa"/>
          </w:tcPr>
          <w:p>
            <w:pPr>
              <w:pStyle w:val="TableParagraph"/>
              <w:spacing w:before="12"/>
              <w:ind w:left="80"/>
              <w:rPr>
                <w:sz w:val="9"/>
              </w:rPr>
            </w:pPr>
            <w:r>
              <w:rPr>
                <w:w w:val="125"/>
                <w:sz w:val="9"/>
              </w:rPr>
              <w:t>Finanziari</w:t>
            </w:r>
          </w:p>
        </w:tc>
        <w:tc>
          <w:tcPr>
            <w:tcW w:w="2550" w:type="dxa"/>
          </w:tcPr>
          <w:p>
            <w:pPr>
              <w:pStyle w:val="TableParagraph"/>
              <w:spacing w:before="12"/>
              <w:ind w:left="74"/>
              <w:rPr>
                <w:sz w:val="9"/>
              </w:rPr>
            </w:pPr>
            <w:r>
              <w:rPr>
                <w:w w:val="125"/>
                <w:sz w:val="9"/>
              </w:rPr>
              <w:t>Interessi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Mossi &amp; Ghisolfi S.p.A.</w:t>
            </w:r>
          </w:p>
        </w:tc>
        <w:tc>
          <w:tcPr>
            <w:tcW w:w="709" w:type="dxa"/>
          </w:tcPr>
          <w:p>
            <w:pPr>
              <w:pStyle w:val="TableParagraph"/>
              <w:spacing w:before="12"/>
              <w:ind w:right="41"/>
              <w:jc w:val="right"/>
              <w:rPr>
                <w:sz w:val="9"/>
              </w:rPr>
            </w:pPr>
            <w:r>
              <w:rPr>
                <w:w w:val="125"/>
                <w:sz w:val="9"/>
              </w:rPr>
              <w:t>2.703.593</w:t>
            </w:r>
          </w:p>
        </w:tc>
        <w:tc>
          <w:tcPr>
            <w:tcW w:w="798" w:type="dxa"/>
          </w:tcPr>
          <w:p>
            <w:pPr>
              <w:pStyle w:val="TableParagraph"/>
              <w:spacing w:before="12"/>
              <w:ind w:left="80"/>
              <w:rPr>
                <w:sz w:val="9"/>
              </w:rPr>
            </w:pPr>
            <w:r>
              <w:rPr>
                <w:w w:val="125"/>
                <w:sz w:val="9"/>
              </w:rPr>
              <w:t>Proventi fiscali</w:t>
            </w:r>
          </w:p>
        </w:tc>
        <w:tc>
          <w:tcPr>
            <w:tcW w:w="2550" w:type="dxa"/>
          </w:tcPr>
          <w:p>
            <w:pPr>
              <w:pStyle w:val="TableParagraph"/>
              <w:spacing w:before="12"/>
              <w:ind w:left="74"/>
              <w:rPr>
                <w:sz w:val="9"/>
              </w:rPr>
            </w:pPr>
            <w:r>
              <w:rPr>
                <w:w w:val="125"/>
                <w:sz w:val="9"/>
              </w:rPr>
              <w:t>Proventi adesione consolidato fiscale</w:t>
            </w:r>
          </w:p>
        </w:tc>
      </w:tr>
      <w:tr>
        <w:trPr>
          <w:trHeight w:val="128" w:hRule="exact"/>
        </w:trPr>
        <w:tc>
          <w:tcPr>
            <w:tcW w:w="631" w:type="dxa"/>
          </w:tcPr>
          <w:p>
            <w:pPr/>
          </w:p>
        </w:tc>
        <w:tc>
          <w:tcPr>
            <w:tcW w:w="1503" w:type="dxa"/>
          </w:tcPr>
          <w:p>
            <w:pPr>
              <w:pStyle w:val="TableParagraph"/>
              <w:spacing w:before="12"/>
              <w:ind w:left="28"/>
              <w:rPr>
                <w:sz w:val="9"/>
              </w:rPr>
            </w:pPr>
            <w:r>
              <w:rPr>
                <w:w w:val="125"/>
                <w:sz w:val="9"/>
              </w:rPr>
              <w:t>Biochemtex Agro</w:t>
            </w:r>
          </w:p>
        </w:tc>
        <w:tc>
          <w:tcPr>
            <w:tcW w:w="709" w:type="dxa"/>
          </w:tcPr>
          <w:p>
            <w:pPr>
              <w:pStyle w:val="TableParagraph"/>
              <w:spacing w:before="12"/>
              <w:ind w:right="40"/>
              <w:jc w:val="right"/>
              <w:rPr>
                <w:sz w:val="9"/>
              </w:rPr>
            </w:pPr>
            <w:r>
              <w:rPr>
                <w:w w:val="125"/>
                <w:sz w:val="9"/>
              </w:rPr>
              <w:t>67.780</w:t>
            </w:r>
          </w:p>
        </w:tc>
        <w:tc>
          <w:tcPr>
            <w:tcW w:w="798" w:type="dxa"/>
          </w:tcPr>
          <w:p>
            <w:pPr>
              <w:pStyle w:val="TableParagraph"/>
              <w:spacing w:before="12"/>
              <w:ind w:left="80"/>
              <w:rPr>
                <w:sz w:val="9"/>
              </w:rPr>
            </w:pPr>
            <w:r>
              <w:rPr>
                <w:w w:val="125"/>
                <w:sz w:val="9"/>
              </w:rPr>
              <w:t>Finanziari</w:t>
            </w:r>
          </w:p>
        </w:tc>
        <w:tc>
          <w:tcPr>
            <w:tcW w:w="2550" w:type="dxa"/>
          </w:tcPr>
          <w:p>
            <w:pPr>
              <w:pStyle w:val="TableParagraph"/>
              <w:spacing w:before="12"/>
              <w:ind w:left="74"/>
              <w:rPr>
                <w:sz w:val="9"/>
              </w:rPr>
            </w:pPr>
            <w:r>
              <w:rPr>
                <w:w w:val="125"/>
                <w:sz w:val="9"/>
              </w:rPr>
              <w:t>Interessi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Biochemtex Agro</w:t>
            </w:r>
          </w:p>
        </w:tc>
        <w:tc>
          <w:tcPr>
            <w:tcW w:w="709" w:type="dxa"/>
          </w:tcPr>
          <w:p>
            <w:pPr>
              <w:pStyle w:val="TableParagraph"/>
              <w:spacing w:before="12"/>
              <w:ind w:right="40"/>
              <w:jc w:val="right"/>
              <w:rPr>
                <w:sz w:val="9"/>
              </w:rPr>
            </w:pPr>
            <w:r>
              <w:rPr>
                <w:w w:val="125"/>
                <w:sz w:val="9"/>
              </w:rPr>
              <w:t>30.000</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74"/>
              <w:rPr>
                <w:sz w:val="9"/>
              </w:rPr>
            </w:pPr>
            <w:r>
              <w:rPr>
                <w:w w:val="125"/>
                <w:sz w:val="9"/>
              </w:rPr>
              <w:t>Servizi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Hepta Italia</w:t>
            </w:r>
          </w:p>
        </w:tc>
        <w:tc>
          <w:tcPr>
            <w:tcW w:w="709" w:type="dxa"/>
          </w:tcPr>
          <w:p>
            <w:pPr>
              <w:pStyle w:val="TableParagraph"/>
              <w:spacing w:before="12"/>
              <w:ind w:right="152"/>
              <w:jc w:val="right"/>
              <w:rPr>
                <w:sz w:val="9"/>
              </w:rPr>
            </w:pPr>
            <w:r>
              <w:rPr>
                <w:w w:val="125"/>
                <w:sz w:val="9"/>
              </w:rPr>
              <w:t>-</w:t>
            </w:r>
          </w:p>
        </w:tc>
        <w:tc>
          <w:tcPr>
            <w:tcW w:w="798" w:type="dxa"/>
          </w:tcPr>
          <w:p>
            <w:pPr>
              <w:pStyle w:val="TableParagraph"/>
              <w:spacing w:before="12"/>
              <w:ind w:left="80"/>
              <w:rPr>
                <w:sz w:val="9"/>
              </w:rPr>
            </w:pPr>
            <w:r>
              <w:rPr>
                <w:w w:val="125"/>
                <w:sz w:val="9"/>
              </w:rPr>
              <w:t>Finanziari</w:t>
            </w:r>
          </w:p>
        </w:tc>
        <w:tc>
          <w:tcPr>
            <w:tcW w:w="2550" w:type="dxa"/>
          </w:tcPr>
          <w:p>
            <w:pPr>
              <w:pStyle w:val="TableParagraph"/>
              <w:spacing w:before="12"/>
              <w:ind w:left="74"/>
              <w:rPr>
                <w:sz w:val="9"/>
              </w:rPr>
            </w:pPr>
            <w:r>
              <w:rPr>
                <w:w w:val="125"/>
                <w:sz w:val="9"/>
              </w:rPr>
              <w:t>Interessi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Italian Bio Products</w:t>
            </w:r>
          </w:p>
        </w:tc>
        <w:tc>
          <w:tcPr>
            <w:tcW w:w="709" w:type="dxa"/>
          </w:tcPr>
          <w:p>
            <w:pPr>
              <w:pStyle w:val="TableParagraph"/>
              <w:spacing w:before="12"/>
              <w:ind w:right="40"/>
              <w:jc w:val="right"/>
              <w:rPr>
                <w:sz w:val="9"/>
              </w:rPr>
            </w:pPr>
            <w:r>
              <w:rPr>
                <w:w w:val="125"/>
                <w:sz w:val="9"/>
              </w:rPr>
              <w:t>9.926.274</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74"/>
              <w:rPr>
                <w:sz w:val="9"/>
              </w:rPr>
            </w:pPr>
            <w:r>
              <w:rPr>
                <w:w w:val="125"/>
                <w:sz w:val="9"/>
              </w:rPr>
              <w:t>Servizi resi</w:t>
            </w:r>
          </w:p>
        </w:tc>
      </w:tr>
      <w:tr>
        <w:trPr>
          <w:trHeight w:val="127" w:hRule="exact"/>
        </w:trPr>
        <w:tc>
          <w:tcPr>
            <w:tcW w:w="631" w:type="dxa"/>
          </w:tcPr>
          <w:p>
            <w:pPr/>
          </w:p>
        </w:tc>
        <w:tc>
          <w:tcPr>
            <w:tcW w:w="1503" w:type="dxa"/>
          </w:tcPr>
          <w:p>
            <w:pPr>
              <w:pStyle w:val="TableParagraph"/>
              <w:spacing w:before="12"/>
              <w:ind w:left="28"/>
              <w:rPr>
                <w:sz w:val="9"/>
              </w:rPr>
            </w:pPr>
            <w:r>
              <w:rPr>
                <w:w w:val="125"/>
                <w:sz w:val="9"/>
              </w:rPr>
              <w:t>Italian Bio Products</w:t>
            </w:r>
          </w:p>
        </w:tc>
        <w:tc>
          <w:tcPr>
            <w:tcW w:w="709" w:type="dxa"/>
          </w:tcPr>
          <w:p>
            <w:pPr>
              <w:pStyle w:val="TableParagraph"/>
              <w:spacing w:before="12"/>
              <w:ind w:right="40"/>
              <w:jc w:val="right"/>
              <w:rPr>
                <w:sz w:val="9"/>
              </w:rPr>
            </w:pPr>
            <w:r>
              <w:rPr>
                <w:w w:val="125"/>
                <w:sz w:val="9"/>
              </w:rPr>
              <w:t>215.763</w:t>
            </w:r>
          </w:p>
        </w:tc>
        <w:tc>
          <w:tcPr>
            <w:tcW w:w="798" w:type="dxa"/>
          </w:tcPr>
          <w:p>
            <w:pPr>
              <w:pStyle w:val="TableParagraph"/>
              <w:spacing w:before="12"/>
              <w:ind w:left="80"/>
              <w:rPr>
                <w:sz w:val="9"/>
              </w:rPr>
            </w:pPr>
            <w:r>
              <w:rPr>
                <w:w w:val="125"/>
                <w:sz w:val="9"/>
              </w:rPr>
              <w:t>Finanziari</w:t>
            </w:r>
          </w:p>
        </w:tc>
        <w:tc>
          <w:tcPr>
            <w:tcW w:w="2550" w:type="dxa"/>
          </w:tcPr>
          <w:p>
            <w:pPr>
              <w:pStyle w:val="TableParagraph"/>
              <w:spacing w:before="12"/>
              <w:ind w:left="74"/>
              <w:rPr>
                <w:sz w:val="9"/>
              </w:rPr>
            </w:pPr>
            <w:r>
              <w:rPr>
                <w:w w:val="125"/>
                <w:sz w:val="9"/>
              </w:rPr>
              <w:t>Interessi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IBP Energia</w:t>
            </w:r>
          </w:p>
        </w:tc>
        <w:tc>
          <w:tcPr>
            <w:tcW w:w="709" w:type="dxa"/>
          </w:tcPr>
          <w:p>
            <w:pPr>
              <w:pStyle w:val="TableParagraph"/>
              <w:spacing w:before="12"/>
              <w:ind w:right="40"/>
              <w:jc w:val="right"/>
              <w:rPr>
                <w:sz w:val="9"/>
              </w:rPr>
            </w:pPr>
            <w:r>
              <w:rPr>
                <w:w w:val="125"/>
                <w:sz w:val="9"/>
              </w:rPr>
              <w:t>4.474</w:t>
            </w:r>
          </w:p>
        </w:tc>
        <w:tc>
          <w:tcPr>
            <w:tcW w:w="798" w:type="dxa"/>
          </w:tcPr>
          <w:p>
            <w:pPr>
              <w:pStyle w:val="TableParagraph"/>
              <w:spacing w:before="12"/>
              <w:ind w:left="80"/>
              <w:rPr>
                <w:sz w:val="9"/>
              </w:rPr>
            </w:pPr>
            <w:r>
              <w:rPr>
                <w:w w:val="125"/>
                <w:sz w:val="9"/>
              </w:rPr>
              <w:t>Finanziari</w:t>
            </w:r>
          </w:p>
        </w:tc>
        <w:tc>
          <w:tcPr>
            <w:tcW w:w="2550" w:type="dxa"/>
          </w:tcPr>
          <w:p>
            <w:pPr>
              <w:pStyle w:val="TableParagraph"/>
              <w:spacing w:before="12"/>
              <w:ind w:left="74"/>
              <w:rPr>
                <w:sz w:val="9"/>
              </w:rPr>
            </w:pPr>
            <w:r>
              <w:rPr>
                <w:w w:val="125"/>
                <w:sz w:val="9"/>
              </w:rPr>
              <w:t>Interessi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Beta Renewables</w:t>
            </w:r>
          </w:p>
        </w:tc>
        <w:tc>
          <w:tcPr>
            <w:tcW w:w="709" w:type="dxa"/>
          </w:tcPr>
          <w:p>
            <w:pPr>
              <w:pStyle w:val="TableParagraph"/>
              <w:spacing w:before="12"/>
              <w:ind w:right="40"/>
              <w:jc w:val="right"/>
              <w:rPr>
                <w:sz w:val="9"/>
              </w:rPr>
            </w:pPr>
            <w:r>
              <w:rPr>
                <w:w w:val="125"/>
                <w:sz w:val="9"/>
              </w:rPr>
              <w:t>6.384.000</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74"/>
              <w:rPr>
                <w:sz w:val="9"/>
              </w:rPr>
            </w:pPr>
            <w:r>
              <w:rPr>
                <w:w w:val="125"/>
                <w:sz w:val="9"/>
              </w:rPr>
              <w:t>Servizi resi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C5 6</w:t>
            </w:r>
          </w:p>
        </w:tc>
        <w:tc>
          <w:tcPr>
            <w:tcW w:w="709" w:type="dxa"/>
          </w:tcPr>
          <w:p>
            <w:pPr>
              <w:pStyle w:val="TableParagraph"/>
              <w:spacing w:before="12"/>
              <w:ind w:right="40"/>
              <w:jc w:val="right"/>
              <w:rPr>
                <w:sz w:val="9"/>
              </w:rPr>
            </w:pPr>
            <w:r>
              <w:rPr>
                <w:w w:val="125"/>
                <w:sz w:val="9"/>
              </w:rPr>
              <w:t>25.000</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74"/>
              <w:rPr>
                <w:sz w:val="9"/>
              </w:rPr>
            </w:pPr>
            <w:r>
              <w:rPr>
                <w:w w:val="125"/>
                <w:sz w:val="9"/>
              </w:rPr>
              <w:t>Servizi resi</w:t>
            </w:r>
          </w:p>
        </w:tc>
      </w:tr>
      <w:tr>
        <w:trPr>
          <w:trHeight w:val="129" w:hRule="exact"/>
        </w:trPr>
        <w:tc>
          <w:tcPr>
            <w:tcW w:w="631" w:type="dxa"/>
          </w:tcPr>
          <w:p>
            <w:pPr>
              <w:pStyle w:val="TableParagraph"/>
              <w:spacing w:before="15"/>
              <w:ind w:left="43" w:right="34"/>
              <w:jc w:val="center"/>
              <w:rPr>
                <w:b/>
                <w:sz w:val="9"/>
              </w:rPr>
            </w:pPr>
            <w:r>
              <w:rPr>
                <w:b/>
                <w:w w:val="125"/>
                <w:sz w:val="9"/>
              </w:rPr>
              <w:t>31/12/2013</w:t>
            </w:r>
          </w:p>
        </w:tc>
        <w:tc>
          <w:tcPr>
            <w:tcW w:w="1503" w:type="dxa"/>
          </w:tcPr>
          <w:p>
            <w:pPr>
              <w:pStyle w:val="TableParagraph"/>
              <w:spacing w:before="12"/>
              <w:ind w:left="28"/>
              <w:rPr>
                <w:sz w:val="9"/>
              </w:rPr>
            </w:pPr>
            <w:r>
              <w:rPr>
                <w:w w:val="125"/>
                <w:sz w:val="9"/>
              </w:rPr>
              <w:t>C5 6</w:t>
            </w:r>
          </w:p>
        </w:tc>
        <w:tc>
          <w:tcPr>
            <w:tcW w:w="709" w:type="dxa"/>
          </w:tcPr>
          <w:p>
            <w:pPr>
              <w:pStyle w:val="TableParagraph"/>
              <w:spacing w:before="12"/>
              <w:ind w:right="40"/>
              <w:jc w:val="right"/>
              <w:rPr>
                <w:sz w:val="9"/>
              </w:rPr>
            </w:pPr>
            <w:r>
              <w:rPr>
                <w:w w:val="125"/>
                <w:sz w:val="9"/>
              </w:rPr>
              <w:t>17.502</w:t>
            </w:r>
          </w:p>
        </w:tc>
        <w:tc>
          <w:tcPr>
            <w:tcW w:w="798" w:type="dxa"/>
          </w:tcPr>
          <w:p>
            <w:pPr>
              <w:pStyle w:val="TableParagraph"/>
              <w:spacing w:before="12"/>
              <w:ind w:left="80"/>
              <w:rPr>
                <w:sz w:val="9"/>
              </w:rPr>
            </w:pPr>
            <w:r>
              <w:rPr>
                <w:w w:val="125"/>
                <w:sz w:val="9"/>
              </w:rPr>
              <w:t>Finanziari</w:t>
            </w:r>
          </w:p>
        </w:tc>
        <w:tc>
          <w:tcPr>
            <w:tcW w:w="2550" w:type="dxa"/>
          </w:tcPr>
          <w:p>
            <w:pPr>
              <w:pStyle w:val="TableParagraph"/>
              <w:spacing w:before="12"/>
              <w:ind w:left="74"/>
              <w:rPr>
                <w:sz w:val="9"/>
              </w:rPr>
            </w:pPr>
            <w:r>
              <w:rPr>
                <w:w w:val="125"/>
                <w:sz w:val="9"/>
              </w:rPr>
              <w:t>Interessi</w:t>
            </w:r>
          </w:p>
        </w:tc>
      </w:tr>
      <w:tr>
        <w:trPr>
          <w:trHeight w:val="133" w:hRule="exact"/>
        </w:trPr>
        <w:tc>
          <w:tcPr>
            <w:tcW w:w="631" w:type="dxa"/>
          </w:tcPr>
          <w:p>
            <w:pPr/>
          </w:p>
        </w:tc>
        <w:tc>
          <w:tcPr>
            <w:tcW w:w="1503" w:type="dxa"/>
            <w:tcBorders>
              <w:bottom w:val="single" w:sz="4" w:space="0" w:color="000000"/>
            </w:tcBorders>
          </w:tcPr>
          <w:p>
            <w:pPr>
              <w:pStyle w:val="TableParagraph"/>
              <w:spacing w:before="10"/>
              <w:ind w:left="28"/>
              <w:rPr>
                <w:sz w:val="9"/>
              </w:rPr>
            </w:pPr>
            <w:r>
              <w:rPr>
                <w:w w:val="125"/>
                <w:sz w:val="9"/>
              </w:rPr>
              <w:t>MG Polimeros Messico</w:t>
            </w:r>
          </w:p>
        </w:tc>
        <w:tc>
          <w:tcPr>
            <w:tcW w:w="709" w:type="dxa"/>
            <w:tcBorders>
              <w:bottom w:val="single" w:sz="4" w:space="0" w:color="000000"/>
            </w:tcBorders>
          </w:tcPr>
          <w:p>
            <w:pPr>
              <w:pStyle w:val="TableParagraph"/>
              <w:spacing w:before="10"/>
              <w:ind w:right="40"/>
              <w:jc w:val="right"/>
              <w:rPr>
                <w:sz w:val="9"/>
              </w:rPr>
            </w:pPr>
            <w:r>
              <w:rPr>
                <w:w w:val="125"/>
                <w:sz w:val="9"/>
              </w:rPr>
              <w:t>944</w:t>
            </w:r>
          </w:p>
        </w:tc>
        <w:tc>
          <w:tcPr>
            <w:tcW w:w="798" w:type="dxa"/>
            <w:tcBorders>
              <w:bottom w:val="single" w:sz="4" w:space="0" w:color="000000"/>
            </w:tcBorders>
          </w:tcPr>
          <w:p>
            <w:pPr>
              <w:pStyle w:val="TableParagraph"/>
              <w:spacing w:before="10"/>
              <w:ind w:left="80"/>
              <w:rPr>
                <w:sz w:val="9"/>
              </w:rPr>
            </w:pPr>
            <w:r>
              <w:rPr>
                <w:w w:val="125"/>
                <w:sz w:val="9"/>
              </w:rPr>
              <w:t>Finanziari</w:t>
            </w:r>
          </w:p>
        </w:tc>
        <w:tc>
          <w:tcPr>
            <w:tcW w:w="2550" w:type="dxa"/>
            <w:tcBorders>
              <w:bottom w:val="single" w:sz="4" w:space="0" w:color="000000"/>
            </w:tcBorders>
          </w:tcPr>
          <w:p>
            <w:pPr>
              <w:pStyle w:val="TableParagraph"/>
              <w:spacing w:before="10"/>
              <w:ind w:left="74"/>
              <w:rPr>
                <w:sz w:val="9"/>
              </w:rPr>
            </w:pPr>
            <w:r>
              <w:rPr>
                <w:w w:val="125"/>
                <w:sz w:val="9"/>
              </w:rPr>
              <w:t>Interessi</w:t>
            </w:r>
          </w:p>
        </w:tc>
      </w:tr>
      <w:tr>
        <w:trPr>
          <w:trHeight w:val="123" w:hRule="exact"/>
        </w:trPr>
        <w:tc>
          <w:tcPr>
            <w:tcW w:w="631" w:type="dxa"/>
          </w:tcPr>
          <w:p>
            <w:pPr/>
          </w:p>
        </w:tc>
        <w:tc>
          <w:tcPr>
            <w:tcW w:w="1503" w:type="dxa"/>
            <w:tcBorders>
              <w:top w:val="single" w:sz="4" w:space="0" w:color="000000"/>
            </w:tcBorders>
          </w:tcPr>
          <w:p>
            <w:pPr>
              <w:pStyle w:val="TableParagraph"/>
              <w:spacing w:before="3"/>
              <w:ind w:left="28"/>
              <w:rPr>
                <w:b/>
                <w:sz w:val="9"/>
              </w:rPr>
            </w:pPr>
            <w:r>
              <w:rPr>
                <w:b/>
                <w:w w:val="125"/>
                <w:sz w:val="9"/>
              </w:rPr>
              <w:t>Costi</w:t>
            </w:r>
          </w:p>
        </w:tc>
        <w:tc>
          <w:tcPr>
            <w:tcW w:w="709" w:type="dxa"/>
            <w:tcBorders>
              <w:top w:val="single" w:sz="4" w:space="0" w:color="000000"/>
            </w:tcBorders>
          </w:tcPr>
          <w:p>
            <w:pPr>
              <w:pStyle w:val="TableParagraph"/>
              <w:spacing w:before="3"/>
              <w:ind w:right="40"/>
              <w:jc w:val="right"/>
              <w:rPr>
                <w:b/>
                <w:sz w:val="9"/>
              </w:rPr>
            </w:pPr>
            <w:r>
              <w:rPr>
                <w:b/>
                <w:w w:val="125"/>
                <w:sz w:val="9"/>
              </w:rPr>
              <w:t>11.034.678</w:t>
            </w:r>
          </w:p>
        </w:tc>
        <w:tc>
          <w:tcPr>
            <w:tcW w:w="798" w:type="dxa"/>
            <w:tcBorders>
              <w:top w:val="single" w:sz="4" w:space="0" w:color="000000"/>
            </w:tcBorders>
          </w:tcPr>
          <w:p>
            <w:pPr/>
          </w:p>
        </w:tc>
        <w:tc>
          <w:tcPr>
            <w:tcW w:w="2550" w:type="dxa"/>
            <w:tcBorders>
              <w:top w:val="single" w:sz="4" w:space="0" w:color="000000"/>
            </w:tcBorders>
          </w:tcPr>
          <w:p>
            <w:pPr/>
          </w:p>
        </w:tc>
      </w:tr>
      <w:tr>
        <w:trPr>
          <w:trHeight w:val="126" w:hRule="exact"/>
        </w:trPr>
        <w:tc>
          <w:tcPr>
            <w:tcW w:w="631" w:type="dxa"/>
          </w:tcPr>
          <w:p>
            <w:pPr/>
          </w:p>
        </w:tc>
        <w:tc>
          <w:tcPr>
            <w:tcW w:w="1503" w:type="dxa"/>
          </w:tcPr>
          <w:p>
            <w:pPr>
              <w:pStyle w:val="TableParagraph"/>
              <w:spacing w:before="10"/>
              <w:ind w:left="28"/>
              <w:rPr>
                <w:sz w:val="9"/>
              </w:rPr>
            </w:pPr>
            <w:r>
              <w:rPr>
                <w:w w:val="125"/>
                <w:sz w:val="9"/>
              </w:rPr>
              <w:t>Acetati</w:t>
            </w:r>
          </w:p>
        </w:tc>
        <w:tc>
          <w:tcPr>
            <w:tcW w:w="709" w:type="dxa"/>
          </w:tcPr>
          <w:p>
            <w:pPr>
              <w:pStyle w:val="TableParagraph"/>
              <w:spacing w:before="10"/>
              <w:ind w:right="40"/>
              <w:jc w:val="right"/>
              <w:rPr>
                <w:sz w:val="9"/>
              </w:rPr>
            </w:pPr>
            <w:r>
              <w:rPr>
                <w:w w:val="125"/>
                <w:sz w:val="9"/>
              </w:rPr>
              <w:t>16.311</w:t>
            </w:r>
          </w:p>
        </w:tc>
        <w:tc>
          <w:tcPr>
            <w:tcW w:w="798" w:type="dxa"/>
          </w:tcPr>
          <w:p>
            <w:pPr>
              <w:pStyle w:val="TableParagraph"/>
              <w:spacing w:before="10"/>
              <w:ind w:left="80"/>
              <w:rPr>
                <w:sz w:val="9"/>
              </w:rPr>
            </w:pPr>
            <w:r>
              <w:rPr>
                <w:w w:val="125"/>
                <w:sz w:val="9"/>
              </w:rPr>
              <w:t>Commerciali</w:t>
            </w:r>
          </w:p>
        </w:tc>
        <w:tc>
          <w:tcPr>
            <w:tcW w:w="2550" w:type="dxa"/>
          </w:tcPr>
          <w:p>
            <w:pPr>
              <w:pStyle w:val="TableParagraph"/>
              <w:spacing w:before="10"/>
              <w:ind w:left="36"/>
              <w:rPr>
                <w:sz w:val="9"/>
              </w:rPr>
            </w:pPr>
            <w:r>
              <w:rPr>
                <w:w w:val="125"/>
                <w:sz w:val="9"/>
              </w:rPr>
              <w:t>Rifatturazione costi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Delta TE</w:t>
            </w:r>
          </w:p>
        </w:tc>
        <w:tc>
          <w:tcPr>
            <w:tcW w:w="709" w:type="dxa"/>
          </w:tcPr>
          <w:p>
            <w:pPr>
              <w:pStyle w:val="TableParagraph"/>
              <w:spacing w:before="12"/>
              <w:ind w:right="152"/>
              <w:jc w:val="right"/>
              <w:rPr>
                <w:sz w:val="9"/>
              </w:rPr>
            </w:pPr>
            <w:r>
              <w:rPr>
                <w:w w:val="125"/>
                <w:sz w:val="9"/>
              </w:rPr>
              <w:t>-</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Servizi ricevuti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C5 6</w:t>
            </w:r>
          </w:p>
        </w:tc>
        <w:tc>
          <w:tcPr>
            <w:tcW w:w="709" w:type="dxa"/>
          </w:tcPr>
          <w:p>
            <w:pPr>
              <w:pStyle w:val="TableParagraph"/>
              <w:spacing w:before="12"/>
              <w:ind w:right="40"/>
              <w:jc w:val="right"/>
              <w:rPr>
                <w:sz w:val="9"/>
              </w:rPr>
            </w:pPr>
            <w:r>
              <w:rPr>
                <w:w w:val="125"/>
                <w:sz w:val="9"/>
              </w:rPr>
              <w:t>450.000</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Servizi ricevuti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Biochemtex Agro</w:t>
            </w:r>
          </w:p>
        </w:tc>
        <w:tc>
          <w:tcPr>
            <w:tcW w:w="709" w:type="dxa"/>
          </w:tcPr>
          <w:p>
            <w:pPr>
              <w:pStyle w:val="TableParagraph"/>
              <w:spacing w:before="12"/>
              <w:ind w:right="40"/>
              <w:jc w:val="right"/>
              <w:rPr>
                <w:sz w:val="9"/>
              </w:rPr>
            </w:pPr>
            <w:r>
              <w:rPr>
                <w:w w:val="125"/>
                <w:sz w:val="9"/>
              </w:rPr>
              <w:t>1.000.100</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Servizi ricevuti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M&amp;G Polimeros Brasile</w:t>
            </w:r>
          </w:p>
        </w:tc>
        <w:tc>
          <w:tcPr>
            <w:tcW w:w="709" w:type="dxa"/>
          </w:tcPr>
          <w:p>
            <w:pPr>
              <w:pStyle w:val="TableParagraph"/>
              <w:spacing w:before="12"/>
              <w:ind w:right="40"/>
              <w:jc w:val="right"/>
              <w:rPr>
                <w:sz w:val="9"/>
              </w:rPr>
            </w:pPr>
            <w:r>
              <w:rPr>
                <w:w w:val="125"/>
                <w:sz w:val="9"/>
              </w:rPr>
              <w:t>119.876</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Servizi ricevuti</w:t>
            </w:r>
          </w:p>
        </w:tc>
      </w:tr>
      <w:tr>
        <w:trPr>
          <w:trHeight w:val="127" w:hRule="exact"/>
        </w:trPr>
        <w:tc>
          <w:tcPr>
            <w:tcW w:w="631" w:type="dxa"/>
          </w:tcPr>
          <w:p>
            <w:pPr/>
          </w:p>
        </w:tc>
        <w:tc>
          <w:tcPr>
            <w:tcW w:w="1503" w:type="dxa"/>
          </w:tcPr>
          <w:p>
            <w:pPr>
              <w:pStyle w:val="TableParagraph"/>
              <w:spacing w:before="12"/>
              <w:ind w:left="28"/>
              <w:rPr>
                <w:sz w:val="9"/>
              </w:rPr>
            </w:pPr>
            <w:r>
              <w:rPr>
                <w:w w:val="125"/>
                <w:sz w:val="9"/>
              </w:rPr>
              <w:t>IBP</w:t>
            </w:r>
          </w:p>
        </w:tc>
        <w:tc>
          <w:tcPr>
            <w:tcW w:w="709" w:type="dxa"/>
          </w:tcPr>
          <w:p>
            <w:pPr>
              <w:pStyle w:val="TableParagraph"/>
              <w:spacing w:before="12"/>
              <w:ind w:right="153"/>
              <w:jc w:val="right"/>
              <w:rPr>
                <w:sz w:val="9"/>
              </w:rPr>
            </w:pPr>
            <w:r>
              <w:rPr>
                <w:w w:val="125"/>
                <w:sz w:val="9"/>
              </w:rPr>
              <w:t>-</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Servizi ricevuti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IBP</w:t>
            </w:r>
          </w:p>
        </w:tc>
        <w:tc>
          <w:tcPr>
            <w:tcW w:w="709" w:type="dxa"/>
          </w:tcPr>
          <w:p>
            <w:pPr>
              <w:pStyle w:val="TableParagraph"/>
              <w:spacing w:before="12"/>
              <w:ind w:right="153"/>
              <w:jc w:val="right"/>
              <w:rPr>
                <w:sz w:val="9"/>
              </w:rPr>
            </w:pPr>
            <w:r>
              <w:rPr>
                <w:w w:val="125"/>
                <w:sz w:val="9"/>
              </w:rPr>
              <w:t>-</w:t>
            </w:r>
          </w:p>
        </w:tc>
        <w:tc>
          <w:tcPr>
            <w:tcW w:w="798" w:type="dxa"/>
          </w:tcPr>
          <w:p>
            <w:pPr>
              <w:pStyle w:val="TableParagraph"/>
              <w:spacing w:before="12"/>
              <w:ind w:left="80"/>
              <w:rPr>
                <w:sz w:val="9"/>
              </w:rPr>
            </w:pPr>
            <w:r>
              <w:rPr>
                <w:w w:val="125"/>
                <w:sz w:val="9"/>
              </w:rPr>
              <w:t>Finanziari</w:t>
            </w:r>
          </w:p>
        </w:tc>
        <w:tc>
          <w:tcPr>
            <w:tcW w:w="2550" w:type="dxa"/>
          </w:tcPr>
          <w:p>
            <w:pPr>
              <w:pStyle w:val="TableParagraph"/>
              <w:spacing w:before="12"/>
              <w:ind w:left="36"/>
              <w:rPr>
                <w:sz w:val="9"/>
              </w:rPr>
            </w:pPr>
            <w:r>
              <w:rPr>
                <w:w w:val="125"/>
                <w:sz w:val="9"/>
              </w:rPr>
              <w:t>Interessi passivi cash pooling</w:t>
            </w:r>
          </w:p>
        </w:tc>
      </w:tr>
      <w:tr>
        <w:trPr>
          <w:trHeight w:val="128" w:hRule="exact"/>
        </w:trPr>
        <w:tc>
          <w:tcPr>
            <w:tcW w:w="631" w:type="dxa"/>
          </w:tcPr>
          <w:p>
            <w:pPr/>
          </w:p>
        </w:tc>
        <w:tc>
          <w:tcPr>
            <w:tcW w:w="1503" w:type="dxa"/>
          </w:tcPr>
          <w:p>
            <w:pPr>
              <w:pStyle w:val="TableParagraph"/>
              <w:spacing w:before="12"/>
              <w:ind w:left="28"/>
              <w:rPr>
                <w:sz w:val="9"/>
              </w:rPr>
            </w:pPr>
            <w:r>
              <w:rPr>
                <w:w w:val="125"/>
                <w:sz w:val="9"/>
              </w:rPr>
              <w:t>IBP Energia</w:t>
            </w:r>
          </w:p>
        </w:tc>
        <w:tc>
          <w:tcPr>
            <w:tcW w:w="709" w:type="dxa"/>
          </w:tcPr>
          <w:p>
            <w:pPr>
              <w:pStyle w:val="TableParagraph"/>
              <w:spacing w:before="12"/>
              <w:ind w:right="40"/>
              <w:jc w:val="right"/>
              <w:rPr>
                <w:sz w:val="9"/>
              </w:rPr>
            </w:pPr>
            <w:r>
              <w:rPr>
                <w:w w:val="125"/>
                <w:sz w:val="9"/>
              </w:rPr>
              <w:t>3.978</w:t>
            </w:r>
          </w:p>
        </w:tc>
        <w:tc>
          <w:tcPr>
            <w:tcW w:w="798" w:type="dxa"/>
          </w:tcPr>
          <w:p>
            <w:pPr>
              <w:pStyle w:val="TableParagraph"/>
              <w:spacing w:before="12"/>
              <w:ind w:left="80"/>
              <w:rPr>
                <w:sz w:val="9"/>
              </w:rPr>
            </w:pPr>
            <w:r>
              <w:rPr>
                <w:w w:val="125"/>
                <w:sz w:val="9"/>
              </w:rPr>
              <w:t>Finanziari</w:t>
            </w:r>
          </w:p>
        </w:tc>
        <w:tc>
          <w:tcPr>
            <w:tcW w:w="2550" w:type="dxa"/>
          </w:tcPr>
          <w:p>
            <w:pPr>
              <w:pStyle w:val="TableParagraph"/>
              <w:spacing w:before="12"/>
              <w:ind w:left="35"/>
              <w:rPr>
                <w:sz w:val="9"/>
              </w:rPr>
            </w:pPr>
            <w:r>
              <w:rPr>
                <w:w w:val="125"/>
                <w:sz w:val="9"/>
              </w:rPr>
              <w:t>Commissioni su fideiussioni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Chemtex International Inc USA</w:t>
            </w:r>
          </w:p>
        </w:tc>
        <w:tc>
          <w:tcPr>
            <w:tcW w:w="709" w:type="dxa"/>
          </w:tcPr>
          <w:p>
            <w:pPr>
              <w:pStyle w:val="TableParagraph"/>
              <w:spacing w:before="12"/>
              <w:ind w:right="40"/>
              <w:jc w:val="right"/>
              <w:rPr>
                <w:sz w:val="9"/>
              </w:rPr>
            </w:pPr>
            <w:r>
              <w:rPr>
                <w:w w:val="125"/>
                <w:sz w:val="9"/>
              </w:rPr>
              <w:t>3.346.485</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Servizi ricevuti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Chemtex International Inc USA</w:t>
            </w:r>
          </w:p>
        </w:tc>
        <w:tc>
          <w:tcPr>
            <w:tcW w:w="709" w:type="dxa"/>
          </w:tcPr>
          <w:p>
            <w:pPr>
              <w:pStyle w:val="TableParagraph"/>
              <w:spacing w:before="12"/>
              <w:ind w:right="40"/>
              <w:jc w:val="right"/>
              <w:rPr>
                <w:sz w:val="9"/>
              </w:rPr>
            </w:pPr>
            <w:r>
              <w:rPr>
                <w:w w:val="125"/>
                <w:sz w:val="9"/>
              </w:rPr>
              <w:t>915.740</w:t>
            </w:r>
          </w:p>
        </w:tc>
        <w:tc>
          <w:tcPr>
            <w:tcW w:w="798" w:type="dxa"/>
          </w:tcPr>
          <w:p>
            <w:pPr>
              <w:pStyle w:val="TableParagraph"/>
              <w:spacing w:before="12"/>
              <w:ind w:left="80"/>
              <w:rPr>
                <w:sz w:val="9"/>
              </w:rPr>
            </w:pPr>
            <w:r>
              <w:rPr>
                <w:w w:val="125"/>
                <w:sz w:val="9"/>
              </w:rPr>
              <w:t>Finanziari</w:t>
            </w:r>
          </w:p>
        </w:tc>
        <w:tc>
          <w:tcPr>
            <w:tcW w:w="2550" w:type="dxa"/>
          </w:tcPr>
          <w:p>
            <w:pPr>
              <w:pStyle w:val="TableParagraph"/>
              <w:spacing w:before="12"/>
              <w:ind w:left="35"/>
              <w:rPr>
                <w:sz w:val="9"/>
              </w:rPr>
            </w:pPr>
            <w:r>
              <w:rPr>
                <w:w w:val="125"/>
                <w:sz w:val="9"/>
              </w:rPr>
              <w:t>Interessi su finanziamenti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Chemtex India Bangalore</w:t>
            </w:r>
          </w:p>
        </w:tc>
        <w:tc>
          <w:tcPr>
            <w:tcW w:w="709" w:type="dxa"/>
          </w:tcPr>
          <w:p>
            <w:pPr>
              <w:pStyle w:val="TableParagraph"/>
              <w:spacing w:before="12"/>
              <w:ind w:right="40"/>
              <w:jc w:val="right"/>
              <w:rPr>
                <w:sz w:val="9"/>
              </w:rPr>
            </w:pPr>
            <w:r>
              <w:rPr>
                <w:w w:val="125"/>
                <w:sz w:val="9"/>
              </w:rPr>
              <w:t>1.974.194</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Servizi ricevuti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Chemtex Global S.A.R.L.</w:t>
            </w:r>
          </w:p>
        </w:tc>
        <w:tc>
          <w:tcPr>
            <w:tcW w:w="709" w:type="dxa"/>
          </w:tcPr>
          <w:p>
            <w:pPr>
              <w:pStyle w:val="TableParagraph"/>
              <w:spacing w:before="12"/>
              <w:ind w:right="40"/>
              <w:jc w:val="right"/>
              <w:rPr>
                <w:sz w:val="9"/>
              </w:rPr>
            </w:pPr>
            <w:r>
              <w:rPr>
                <w:w w:val="125"/>
                <w:sz w:val="9"/>
              </w:rPr>
              <w:t>97.142</w:t>
            </w:r>
          </w:p>
        </w:tc>
        <w:tc>
          <w:tcPr>
            <w:tcW w:w="798" w:type="dxa"/>
          </w:tcPr>
          <w:p>
            <w:pPr>
              <w:pStyle w:val="TableParagraph"/>
              <w:spacing w:before="12"/>
              <w:ind w:left="80"/>
              <w:rPr>
                <w:sz w:val="9"/>
              </w:rPr>
            </w:pPr>
            <w:r>
              <w:rPr>
                <w:w w:val="125"/>
                <w:sz w:val="9"/>
              </w:rPr>
              <w:t>Finanziari</w:t>
            </w:r>
          </w:p>
        </w:tc>
        <w:tc>
          <w:tcPr>
            <w:tcW w:w="2550" w:type="dxa"/>
          </w:tcPr>
          <w:p>
            <w:pPr>
              <w:pStyle w:val="TableParagraph"/>
              <w:spacing w:before="12"/>
              <w:ind w:left="36"/>
              <w:rPr>
                <w:sz w:val="9"/>
              </w:rPr>
            </w:pPr>
            <w:r>
              <w:rPr>
                <w:w w:val="125"/>
                <w:sz w:val="9"/>
              </w:rPr>
              <w:t>Interessi</w:t>
            </w:r>
          </w:p>
        </w:tc>
      </w:tr>
      <w:tr>
        <w:trPr>
          <w:trHeight w:val="127" w:hRule="exact"/>
        </w:trPr>
        <w:tc>
          <w:tcPr>
            <w:tcW w:w="631" w:type="dxa"/>
          </w:tcPr>
          <w:p>
            <w:pPr/>
          </w:p>
        </w:tc>
        <w:tc>
          <w:tcPr>
            <w:tcW w:w="1503" w:type="dxa"/>
          </w:tcPr>
          <w:p>
            <w:pPr>
              <w:pStyle w:val="TableParagraph"/>
              <w:spacing w:before="12"/>
              <w:ind w:left="28"/>
              <w:rPr>
                <w:sz w:val="9"/>
              </w:rPr>
            </w:pPr>
            <w:r>
              <w:rPr>
                <w:w w:val="125"/>
                <w:sz w:val="9"/>
              </w:rPr>
              <w:t>Chemtex India Mumbai</w:t>
            </w:r>
          </w:p>
        </w:tc>
        <w:tc>
          <w:tcPr>
            <w:tcW w:w="709" w:type="dxa"/>
          </w:tcPr>
          <w:p>
            <w:pPr>
              <w:pStyle w:val="TableParagraph"/>
              <w:spacing w:before="12"/>
              <w:ind w:right="40"/>
              <w:jc w:val="right"/>
              <w:rPr>
                <w:sz w:val="9"/>
              </w:rPr>
            </w:pPr>
            <w:r>
              <w:rPr>
                <w:w w:val="125"/>
                <w:sz w:val="9"/>
              </w:rPr>
              <w:t>33.139</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Servizi ricevuti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M&amp;G Finanziaria</w:t>
            </w:r>
          </w:p>
        </w:tc>
        <w:tc>
          <w:tcPr>
            <w:tcW w:w="709" w:type="dxa"/>
          </w:tcPr>
          <w:p>
            <w:pPr>
              <w:pStyle w:val="TableParagraph"/>
              <w:spacing w:before="12"/>
              <w:ind w:right="40"/>
              <w:jc w:val="right"/>
              <w:rPr>
                <w:sz w:val="9"/>
              </w:rPr>
            </w:pPr>
            <w:r>
              <w:rPr>
                <w:w w:val="125"/>
                <w:sz w:val="9"/>
              </w:rPr>
              <w:t>2.510.940</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Servizi ricevuti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M&amp;G Polimeri Italia</w:t>
            </w:r>
          </w:p>
        </w:tc>
        <w:tc>
          <w:tcPr>
            <w:tcW w:w="709" w:type="dxa"/>
          </w:tcPr>
          <w:p>
            <w:pPr>
              <w:pStyle w:val="TableParagraph"/>
              <w:spacing w:before="12"/>
              <w:ind w:right="41"/>
              <w:jc w:val="right"/>
              <w:rPr>
                <w:sz w:val="9"/>
              </w:rPr>
            </w:pPr>
            <w:r>
              <w:rPr>
                <w:w w:val="125"/>
                <w:sz w:val="9"/>
              </w:rPr>
              <w:t>10.000</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Servizi ricevuti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M&amp;G Finanziaria</w:t>
            </w:r>
          </w:p>
        </w:tc>
        <w:tc>
          <w:tcPr>
            <w:tcW w:w="709" w:type="dxa"/>
          </w:tcPr>
          <w:p>
            <w:pPr>
              <w:pStyle w:val="TableParagraph"/>
              <w:spacing w:before="12"/>
              <w:ind w:right="40"/>
              <w:jc w:val="right"/>
              <w:rPr>
                <w:sz w:val="9"/>
              </w:rPr>
            </w:pPr>
            <w:r>
              <w:rPr>
                <w:w w:val="125"/>
                <w:sz w:val="9"/>
              </w:rPr>
              <w:t>164.570</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5"/>
              <w:rPr>
                <w:sz w:val="9"/>
              </w:rPr>
            </w:pPr>
            <w:r>
              <w:rPr>
                <w:w w:val="125"/>
                <w:sz w:val="9"/>
              </w:rPr>
              <w:t>Affitto uffici e relativi servizi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M&amp;G Finanziaria</w:t>
            </w:r>
          </w:p>
        </w:tc>
        <w:tc>
          <w:tcPr>
            <w:tcW w:w="709" w:type="dxa"/>
          </w:tcPr>
          <w:p>
            <w:pPr>
              <w:pStyle w:val="TableParagraph"/>
              <w:spacing w:before="12"/>
              <w:ind w:right="40"/>
              <w:jc w:val="right"/>
              <w:rPr>
                <w:sz w:val="9"/>
              </w:rPr>
            </w:pPr>
            <w:r>
              <w:rPr>
                <w:w w:val="125"/>
                <w:sz w:val="9"/>
              </w:rPr>
              <w:t>392.203</w:t>
            </w:r>
          </w:p>
        </w:tc>
        <w:tc>
          <w:tcPr>
            <w:tcW w:w="798" w:type="dxa"/>
          </w:tcPr>
          <w:p>
            <w:pPr>
              <w:pStyle w:val="TableParagraph"/>
              <w:spacing w:before="12"/>
              <w:ind w:left="80"/>
              <w:rPr>
                <w:sz w:val="9"/>
              </w:rPr>
            </w:pPr>
            <w:r>
              <w:rPr>
                <w:w w:val="125"/>
                <w:sz w:val="9"/>
              </w:rPr>
              <w:t>Finanziari</w:t>
            </w:r>
          </w:p>
        </w:tc>
        <w:tc>
          <w:tcPr>
            <w:tcW w:w="2550" w:type="dxa"/>
          </w:tcPr>
          <w:p>
            <w:pPr>
              <w:pStyle w:val="TableParagraph"/>
              <w:spacing w:before="12"/>
              <w:ind w:left="35"/>
              <w:rPr>
                <w:sz w:val="9"/>
              </w:rPr>
            </w:pPr>
            <w:r>
              <w:rPr>
                <w:w w:val="125"/>
                <w:sz w:val="9"/>
              </w:rPr>
              <w:t>Commissioni su fideius., interessi cash pooling</w:t>
            </w:r>
          </w:p>
        </w:tc>
      </w:tr>
      <w:tr>
        <w:trPr>
          <w:trHeight w:val="142" w:hRule="exact"/>
        </w:trPr>
        <w:tc>
          <w:tcPr>
            <w:tcW w:w="631" w:type="dxa"/>
            <w:tcBorders>
              <w:bottom w:val="single" w:sz="3" w:space="0" w:color="000000"/>
            </w:tcBorders>
          </w:tcPr>
          <w:p>
            <w:pPr/>
          </w:p>
        </w:tc>
        <w:tc>
          <w:tcPr>
            <w:tcW w:w="1503" w:type="dxa"/>
            <w:tcBorders>
              <w:bottom w:val="single" w:sz="3" w:space="0" w:color="000000"/>
            </w:tcBorders>
          </w:tcPr>
          <w:p>
            <w:pPr>
              <w:pStyle w:val="TableParagraph"/>
              <w:spacing w:before="12"/>
              <w:ind w:left="28"/>
              <w:rPr>
                <w:sz w:val="9"/>
              </w:rPr>
            </w:pPr>
            <w:r>
              <w:rPr>
                <w:w w:val="125"/>
                <w:sz w:val="9"/>
              </w:rPr>
              <w:t>Chemtex Shanghai Cina</w:t>
            </w:r>
          </w:p>
        </w:tc>
        <w:tc>
          <w:tcPr>
            <w:tcW w:w="709" w:type="dxa"/>
            <w:tcBorders>
              <w:bottom w:val="single" w:sz="3" w:space="0" w:color="000000"/>
            </w:tcBorders>
          </w:tcPr>
          <w:p>
            <w:pPr>
              <w:pStyle w:val="TableParagraph"/>
              <w:spacing w:before="12"/>
              <w:ind w:right="152"/>
              <w:jc w:val="right"/>
              <w:rPr>
                <w:sz w:val="9"/>
              </w:rPr>
            </w:pPr>
            <w:r>
              <w:rPr>
                <w:w w:val="125"/>
                <w:sz w:val="9"/>
              </w:rPr>
              <w:t>-</w:t>
            </w:r>
          </w:p>
        </w:tc>
        <w:tc>
          <w:tcPr>
            <w:tcW w:w="798" w:type="dxa"/>
            <w:tcBorders>
              <w:bottom w:val="single" w:sz="3" w:space="0" w:color="000000"/>
            </w:tcBorders>
          </w:tcPr>
          <w:p>
            <w:pPr>
              <w:pStyle w:val="TableParagraph"/>
              <w:spacing w:before="12"/>
              <w:ind w:left="80"/>
              <w:rPr>
                <w:sz w:val="9"/>
              </w:rPr>
            </w:pPr>
            <w:r>
              <w:rPr>
                <w:w w:val="125"/>
                <w:sz w:val="9"/>
              </w:rPr>
              <w:t>Commerciali</w:t>
            </w:r>
          </w:p>
        </w:tc>
        <w:tc>
          <w:tcPr>
            <w:tcW w:w="2550" w:type="dxa"/>
            <w:tcBorders>
              <w:bottom w:val="single" w:sz="3" w:space="0" w:color="000000"/>
            </w:tcBorders>
          </w:tcPr>
          <w:p>
            <w:pPr>
              <w:pStyle w:val="TableParagraph"/>
              <w:spacing w:before="12"/>
              <w:ind w:left="36"/>
              <w:rPr>
                <w:sz w:val="9"/>
              </w:rPr>
            </w:pPr>
            <w:r>
              <w:rPr>
                <w:w w:val="125"/>
                <w:sz w:val="9"/>
              </w:rPr>
              <w:t>Servizi ricevuti</w:t>
            </w:r>
          </w:p>
        </w:tc>
      </w:tr>
      <w:tr>
        <w:trPr>
          <w:trHeight w:val="131" w:hRule="exact"/>
        </w:trPr>
        <w:tc>
          <w:tcPr>
            <w:tcW w:w="631" w:type="dxa"/>
            <w:tcBorders>
              <w:top w:val="single" w:sz="3" w:space="0" w:color="000000"/>
            </w:tcBorders>
          </w:tcPr>
          <w:p>
            <w:pPr/>
          </w:p>
        </w:tc>
        <w:tc>
          <w:tcPr>
            <w:tcW w:w="1503" w:type="dxa"/>
            <w:tcBorders>
              <w:top w:val="single" w:sz="3" w:space="0" w:color="000000"/>
            </w:tcBorders>
          </w:tcPr>
          <w:p>
            <w:pPr>
              <w:pStyle w:val="TableParagraph"/>
              <w:spacing w:before="12"/>
              <w:ind w:left="28"/>
              <w:rPr>
                <w:b/>
                <w:sz w:val="9"/>
              </w:rPr>
            </w:pPr>
            <w:r>
              <w:rPr>
                <w:b/>
                <w:w w:val="125"/>
                <w:sz w:val="9"/>
              </w:rPr>
              <w:t>Ricavi</w:t>
            </w:r>
          </w:p>
        </w:tc>
        <w:tc>
          <w:tcPr>
            <w:tcW w:w="709" w:type="dxa"/>
            <w:tcBorders>
              <w:top w:val="single" w:sz="3" w:space="0" w:color="000000"/>
            </w:tcBorders>
          </w:tcPr>
          <w:p>
            <w:pPr>
              <w:pStyle w:val="TableParagraph"/>
              <w:spacing w:before="12"/>
              <w:ind w:right="40"/>
              <w:jc w:val="right"/>
              <w:rPr>
                <w:b/>
                <w:sz w:val="9"/>
              </w:rPr>
            </w:pPr>
            <w:r>
              <w:rPr>
                <w:b/>
                <w:w w:val="125"/>
                <w:sz w:val="9"/>
              </w:rPr>
              <w:t>26.142.606</w:t>
            </w:r>
          </w:p>
        </w:tc>
        <w:tc>
          <w:tcPr>
            <w:tcW w:w="798" w:type="dxa"/>
            <w:tcBorders>
              <w:top w:val="single" w:sz="3" w:space="0" w:color="000000"/>
            </w:tcBorders>
          </w:tcPr>
          <w:p>
            <w:pPr/>
          </w:p>
        </w:tc>
        <w:tc>
          <w:tcPr>
            <w:tcW w:w="2550" w:type="dxa"/>
            <w:tcBorders>
              <w:top w:val="single" w:sz="3" w:space="0" w:color="000000"/>
            </w:tcBorders>
          </w:tcPr>
          <w:p>
            <w:pPr/>
          </w:p>
        </w:tc>
      </w:tr>
      <w:tr>
        <w:trPr>
          <w:trHeight w:val="127" w:hRule="exact"/>
        </w:trPr>
        <w:tc>
          <w:tcPr>
            <w:tcW w:w="631" w:type="dxa"/>
          </w:tcPr>
          <w:p>
            <w:pPr/>
          </w:p>
        </w:tc>
        <w:tc>
          <w:tcPr>
            <w:tcW w:w="1503" w:type="dxa"/>
          </w:tcPr>
          <w:p>
            <w:pPr>
              <w:pStyle w:val="TableParagraph"/>
              <w:spacing w:before="10"/>
              <w:ind w:left="28"/>
              <w:rPr>
                <w:sz w:val="9"/>
              </w:rPr>
            </w:pPr>
            <w:r>
              <w:rPr>
                <w:w w:val="125"/>
                <w:sz w:val="9"/>
              </w:rPr>
              <w:t>M&amp;G International</w:t>
            </w:r>
          </w:p>
        </w:tc>
        <w:tc>
          <w:tcPr>
            <w:tcW w:w="709" w:type="dxa"/>
          </w:tcPr>
          <w:p>
            <w:pPr>
              <w:pStyle w:val="TableParagraph"/>
              <w:spacing w:before="10"/>
              <w:ind w:right="40"/>
              <w:jc w:val="right"/>
              <w:rPr>
                <w:sz w:val="9"/>
              </w:rPr>
            </w:pPr>
            <w:r>
              <w:rPr>
                <w:w w:val="125"/>
                <w:sz w:val="9"/>
              </w:rPr>
              <w:t>6.626.735</w:t>
            </w:r>
          </w:p>
        </w:tc>
        <w:tc>
          <w:tcPr>
            <w:tcW w:w="798" w:type="dxa"/>
          </w:tcPr>
          <w:p>
            <w:pPr>
              <w:pStyle w:val="TableParagraph"/>
              <w:spacing w:before="10"/>
              <w:ind w:left="80"/>
              <w:rPr>
                <w:sz w:val="9"/>
              </w:rPr>
            </w:pPr>
            <w:r>
              <w:rPr>
                <w:w w:val="125"/>
                <w:sz w:val="9"/>
              </w:rPr>
              <w:t>Commerciali</w:t>
            </w:r>
          </w:p>
        </w:tc>
        <w:tc>
          <w:tcPr>
            <w:tcW w:w="2550" w:type="dxa"/>
          </w:tcPr>
          <w:p>
            <w:pPr>
              <w:pStyle w:val="TableParagraph"/>
              <w:spacing w:before="10"/>
              <w:ind w:left="36"/>
              <w:rPr>
                <w:sz w:val="9"/>
              </w:rPr>
            </w:pPr>
            <w:r>
              <w:rPr>
                <w:w w:val="125"/>
                <w:sz w:val="9"/>
              </w:rPr>
              <w:t>Servizi resi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M&amp;G Polymers Usa</w:t>
            </w:r>
          </w:p>
        </w:tc>
        <w:tc>
          <w:tcPr>
            <w:tcW w:w="709" w:type="dxa"/>
          </w:tcPr>
          <w:p>
            <w:pPr>
              <w:pStyle w:val="TableParagraph"/>
              <w:spacing w:before="12"/>
              <w:ind w:right="153"/>
              <w:jc w:val="right"/>
              <w:rPr>
                <w:sz w:val="9"/>
              </w:rPr>
            </w:pPr>
            <w:r>
              <w:rPr>
                <w:w w:val="125"/>
                <w:sz w:val="9"/>
              </w:rPr>
              <w:t>-</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Servizi</w:t>
            </w:r>
          </w:p>
        </w:tc>
      </w:tr>
      <w:tr>
        <w:trPr>
          <w:trHeight w:val="127" w:hRule="exact"/>
        </w:trPr>
        <w:tc>
          <w:tcPr>
            <w:tcW w:w="631" w:type="dxa"/>
          </w:tcPr>
          <w:p>
            <w:pPr/>
          </w:p>
        </w:tc>
        <w:tc>
          <w:tcPr>
            <w:tcW w:w="1503" w:type="dxa"/>
          </w:tcPr>
          <w:p>
            <w:pPr>
              <w:pStyle w:val="TableParagraph"/>
              <w:spacing w:before="12"/>
              <w:ind w:left="28"/>
              <w:rPr>
                <w:sz w:val="9"/>
              </w:rPr>
            </w:pPr>
            <w:r>
              <w:rPr>
                <w:w w:val="125"/>
                <w:sz w:val="9"/>
              </w:rPr>
              <w:t>M&amp;G Polimeri Italia</w:t>
            </w:r>
          </w:p>
        </w:tc>
        <w:tc>
          <w:tcPr>
            <w:tcW w:w="709" w:type="dxa"/>
          </w:tcPr>
          <w:p>
            <w:pPr>
              <w:pStyle w:val="TableParagraph"/>
              <w:spacing w:before="12"/>
              <w:ind w:right="152"/>
              <w:jc w:val="right"/>
              <w:rPr>
                <w:sz w:val="9"/>
              </w:rPr>
            </w:pPr>
            <w:r>
              <w:rPr>
                <w:w w:val="125"/>
                <w:sz w:val="9"/>
              </w:rPr>
              <w:t>-</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Servizi resi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Acetati</w:t>
            </w:r>
          </w:p>
        </w:tc>
        <w:tc>
          <w:tcPr>
            <w:tcW w:w="709" w:type="dxa"/>
          </w:tcPr>
          <w:p>
            <w:pPr>
              <w:pStyle w:val="TableParagraph"/>
              <w:spacing w:before="12"/>
              <w:ind w:right="153"/>
              <w:jc w:val="right"/>
              <w:rPr>
                <w:sz w:val="9"/>
              </w:rPr>
            </w:pPr>
            <w:r>
              <w:rPr>
                <w:w w:val="125"/>
                <w:sz w:val="9"/>
              </w:rPr>
              <w:t>-</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Servizi resi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M&amp;G Usa Coorporation</w:t>
            </w:r>
          </w:p>
        </w:tc>
        <w:tc>
          <w:tcPr>
            <w:tcW w:w="709" w:type="dxa"/>
          </w:tcPr>
          <w:p>
            <w:pPr>
              <w:pStyle w:val="TableParagraph"/>
              <w:spacing w:before="12"/>
              <w:ind w:right="153"/>
              <w:jc w:val="right"/>
              <w:rPr>
                <w:sz w:val="9"/>
              </w:rPr>
            </w:pPr>
            <w:r>
              <w:rPr>
                <w:w w:val="125"/>
                <w:sz w:val="9"/>
              </w:rPr>
              <w:t>-</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Cessione licenze</w:t>
            </w:r>
          </w:p>
        </w:tc>
      </w:tr>
      <w:tr>
        <w:trPr>
          <w:trHeight w:val="128" w:hRule="exact"/>
        </w:trPr>
        <w:tc>
          <w:tcPr>
            <w:tcW w:w="631" w:type="dxa"/>
          </w:tcPr>
          <w:p>
            <w:pPr/>
          </w:p>
        </w:tc>
        <w:tc>
          <w:tcPr>
            <w:tcW w:w="1503" w:type="dxa"/>
          </w:tcPr>
          <w:p>
            <w:pPr>
              <w:pStyle w:val="TableParagraph"/>
              <w:spacing w:before="12"/>
              <w:ind w:left="28"/>
              <w:rPr>
                <w:sz w:val="9"/>
              </w:rPr>
            </w:pPr>
            <w:r>
              <w:rPr>
                <w:w w:val="125"/>
                <w:sz w:val="9"/>
              </w:rPr>
              <w:t>Chemtex International Inc</w:t>
            </w:r>
          </w:p>
        </w:tc>
        <w:tc>
          <w:tcPr>
            <w:tcW w:w="709" w:type="dxa"/>
          </w:tcPr>
          <w:p>
            <w:pPr>
              <w:pStyle w:val="TableParagraph"/>
              <w:spacing w:before="12"/>
              <w:ind w:right="40"/>
              <w:jc w:val="right"/>
              <w:rPr>
                <w:sz w:val="9"/>
              </w:rPr>
            </w:pPr>
            <w:r>
              <w:rPr>
                <w:w w:val="125"/>
                <w:sz w:val="9"/>
              </w:rPr>
              <w:t>518.286</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Servizi resi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Chemtex Shanghai Cina</w:t>
            </w:r>
          </w:p>
        </w:tc>
        <w:tc>
          <w:tcPr>
            <w:tcW w:w="709" w:type="dxa"/>
          </w:tcPr>
          <w:p>
            <w:pPr>
              <w:pStyle w:val="TableParagraph"/>
              <w:spacing w:before="12"/>
              <w:ind w:right="152"/>
              <w:jc w:val="right"/>
              <w:rPr>
                <w:sz w:val="9"/>
              </w:rPr>
            </w:pPr>
            <w:r>
              <w:rPr>
                <w:w w:val="125"/>
                <w:sz w:val="9"/>
              </w:rPr>
              <w:t>-</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Servizi resi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M&amp;G Polimeros Brasile</w:t>
            </w:r>
          </w:p>
        </w:tc>
        <w:tc>
          <w:tcPr>
            <w:tcW w:w="709" w:type="dxa"/>
          </w:tcPr>
          <w:p>
            <w:pPr>
              <w:pStyle w:val="TableParagraph"/>
              <w:spacing w:before="12"/>
              <w:ind w:right="154"/>
              <w:jc w:val="right"/>
              <w:rPr>
                <w:sz w:val="9"/>
              </w:rPr>
            </w:pPr>
            <w:r>
              <w:rPr>
                <w:w w:val="125"/>
                <w:sz w:val="9"/>
              </w:rPr>
              <w:t>-</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Servizi resi</w:t>
            </w:r>
          </w:p>
        </w:tc>
      </w:tr>
      <w:tr>
        <w:trPr>
          <w:trHeight w:val="128" w:hRule="exact"/>
        </w:trPr>
        <w:tc>
          <w:tcPr>
            <w:tcW w:w="631" w:type="dxa"/>
          </w:tcPr>
          <w:p>
            <w:pPr/>
          </w:p>
        </w:tc>
        <w:tc>
          <w:tcPr>
            <w:tcW w:w="1503" w:type="dxa"/>
          </w:tcPr>
          <w:p>
            <w:pPr>
              <w:pStyle w:val="TableParagraph"/>
              <w:spacing w:before="12"/>
              <w:ind w:left="28"/>
              <w:rPr>
                <w:sz w:val="9"/>
              </w:rPr>
            </w:pPr>
            <w:r>
              <w:rPr>
                <w:w w:val="125"/>
                <w:sz w:val="9"/>
              </w:rPr>
              <w:t>M&amp;G Finanziaria</w:t>
            </w:r>
          </w:p>
        </w:tc>
        <w:tc>
          <w:tcPr>
            <w:tcW w:w="709" w:type="dxa"/>
          </w:tcPr>
          <w:p>
            <w:pPr>
              <w:pStyle w:val="TableParagraph"/>
              <w:spacing w:before="12"/>
              <w:ind w:right="40"/>
              <w:jc w:val="right"/>
              <w:rPr>
                <w:sz w:val="9"/>
              </w:rPr>
            </w:pPr>
            <w:r>
              <w:rPr>
                <w:w w:val="125"/>
                <w:sz w:val="9"/>
              </w:rPr>
              <w:t>6.137.626</w:t>
            </w:r>
          </w:p>
        </w:tc>
        <w:tc>
          <w:tcPr>
            <w:tcW w:w="798" w:type="dxa"/>
          </w:tcPr>
          <w:p>
            <w:pPr>
              <w:pStyle w:val="TableParagraph"/>
              <w:spacing w:before="12"/>
              <w:ind w:left="80"/>
              <w:rPr>
                <w:sz w:val="9"/>
              </w:rPr>
            </w:pPr>
            <w:r>
              <w:rPr>
                <w:w w:val="125"/>
                <w:sz w:val="9"/>
              </w:rPr>
              <w:t>Commerciali</w:t>
            </w:r>
          </w:p>
        </w:tc>
        <w:tc>
          <w:tcPr>
            <w:tcW w:w="2550" w:type="dxa"/>
          </w:tcPr>
          <w:p>
            <w:pPr>
              <w:pStyle w:val="TableParagraph"/>
              <w:spacing w:before="12"/>
              <w:ind w:left="36"/>
              <w:rPr>
                <w:sz w:val="9"/>
              </w:rPr>
            </w:pPr>
            <w:r>
              <w:rPr>
                <w:w w:val="125"/>
                <w:sz w:val="9"/>
              </w:rPr>
              <w:t>Servizi resi</w:t>
            </w:r>
          </w:p>
        </w:tc>
      </w:tr>
      <w:tr>
        <w:trPr>
          <w:trHeight w:val="117" w:hRule="exact"/>
        </w:trPr>
        <w:tc>
          <w:tcPr>
            <w:tcW w:w="631" w:type="dxa"/>
          </w:tcPr>
          <w:p>
            <w:pPr/>
          </w:p>
        </w:tc>
        <w:tc>
          <w:tcPr>
            <w:tcW w:w="1503" w:type="dxa"/>
          </w:tcPr>
          <w:p>
            <w:pPr>
              <w:pStyle w:val="TableParagraph"/>
              <w:spacing w:before="12"/>
              <w:ind w:left="28"/>
              <w:rPr>
                <w:sz w:val="9"/>
              </w:rPr>
            </w:pPr>
            <w:r>
              <w:rPr>
                <w:w w:val="125"/>
                <w:sz w:val="9"/>
              </w:rPr>
              <w:t>M&amp;G Finanziaria</w:t>
            </w:r>
          </w:p>
        </w:tc>
        <w:tc>
          <w:tcPr>
            <w:tcW w:w="709" w:type="dxa"/>
          </w:tcPr>
          <w:p>
            <w:pPr>
              <w:pStyle w:val="TableParagraph"/>
              <w:spacing w:before="12"/>
              <w:ind w:right="40"/>
              <w:jc w:val="right"/>
              <w:rPr>
                <w:sz w:val="9"/>
              </w:rPr>
            </w:pPr>
            <w:r>
              <w:rPr>
                <w:w w:val="125"/>
                <w:sz w:val="9"/>
              </w:rPr>
              <w:t>1.039.408</w:t>
            </w:r>
          </w:p>
        </w:tc>
        <w:tc>
          <w:tcPr>
            <w:tcW w:w="798" w:type="dxa"/>
          </w:tcPr>
          <w:p>
            <w:pPr>
              <w:pStyle w:val="TableParagraph"/>
              <w:spacing w:before="12"/>
              <w:ind w:left="80"/>
              <w:rPr>
                <w:sz w:val="9"/>
              </w:rPr>
            </w:pPr>
            <w:r>
              <w:rPr>
                <w:w w:val="125"/>
                <w:sz w:val="9"/>
              </w:rPr>
              <w:t>Finanziari</w:t>
            </w:r>
          </w:p>
        </w:tc>
        <w:tc>
          <w:tcPr>
            <w:tcW w:w="2550" w:type="dxa"/>
          </w:tcPr>
          <w:p>
            <w:pPr>
              <w:pStyle w:val="TableParagraph"/>
              <w:spacing w:before="12"/>
              <w:ind w:left="36"/>
              <w:rPr>
                <w:sz w:val="9"/>
              </w:rPr>
            </w:pPr>
            <w:r>
              <w:rPr>
                <w:w w:val="125"/>
                <w:sz w:val="9"/>
              </w:rPr>
              <w:t>Interessi</w:t>
            </w:r>
          </w:p>
        </w:tc>
      </w:tr>
    </w:tbl>
    <w:p>
      <w:pPr>
        <w:tabs>
          <w:tab w:pos="2900" w:val="left" w:leader="none"/>
          <w:tab w:pos="3060" w:val="left" w:leader="none"/>
          <w:tab w:pos="3334" w:val="left" w:leader="none"/>
          <w:tab w:pos="4088" w:val="left" w:leader="none"/>
        </w:tabs>
        <w:spacing w:line="297" w:lineRule="auto" w:before="22"/>
        <w:ind w:left="1070" w:right="3568" w:firstLine="0"/>
        <w:jc w:val="left"/>
        <w:rPr>
          <w:rFonts w:ascii="Times New Roman"/>
          <w:sz w:val="9"/>
        </w:rPr>
      </w:pPr>
      <w:r>
        <w:rPr>
          <w:rFonts w:ascii="Times New Roman"/>
          <w:spacing w:val="3"/>
          <w:w w:val="125"/>
          <w:sz w:val="9"/>
        </w:rPr>
        <w:t>Mossi </w:t>
      </w:r>
      <w:r>
        <w:rPr>
          <w:rFonts w:ascii="Times New Roman"/>
          <w:w w:val="125"/>
          <w:sz w:val="9"/>
        </w:rPr>
        <w:t>&amp;</w:t>
      </w:r>
      <w:r>
        <w:rPr>
          <w:rFonts w:ascii="Times New Roman"/>
          <w:spacing w:val="-6"/>
          <w:w w:val="125"/>
          <w:sz w:val="9"/>
        </w:rPr>
        <w:t> </w:t>
      </w:r>
      <w:r>
        <w:rPr>
          <w:rFonts w:ascii="Times New Roman"/>
          <w:w w:val="125"/>
          <w:sz w:val="9"/>
        </w:rPr>
        <w:t>Ghisolfi</w:t>
      </w:r>
      <w:r>
        <w:rPr>
          <w:rFonts w:ascii="Times New Roman"/>
          <w:spacing w:val="-2"/>
          <w:w w:val="125"/>
          <w:sz w:val="9"/>
        </w:rPr>
        <w:t> </w:t>
      </w:r>
      <w:r>
        <w:rPr>
          <w:rFonts w:ascii="Times New Roman"/>
          <w:w w:val="125"/>
          <w:sz w:val="9"/>
        </w:rPr>
        <w:t>S.p.A.</w:t>
        <w:tab/>
        <w:tab/>
        <w:t>-</w:t>
        <w:tab/>
        <w:t>Proventi fiscali  Proventi adesione</w:t>
      </w:r>
      <w:r>
        <w:rPr>
          <w:rFonts w:ascii="Times New Roman"/>
          <w:spacing w:val="-18"/>
          <w:w w:val="125"/>
          <w:sz w:val="9"/>
        </w:rPr>
        <w:t> </w:t>
      </w:r>
      <w:r>
        <w:rPr>
          <w:rFonts w:ascii="Times New Roman"/>
          <w:w w:val="125"/>
          <w:sz w:val="9"/>
        </w:rPr>
        <w:t>consolidato</w:t>
      </w:r>
      <w:r>
        <w:rPr>
          <w:rFonts w:ascii="Times New Roman"/>
          <w:spacing w:val="-5"/>
          <w:w w:val="125"/>
          <w:sz w:val="9"/>
        </w:rPr>
        <w:t> </w:t>
      </w:r>
      <w:r>
        <w:rPr>
          <w:rFonts w:ascii="Times New Roman"/>
          <w:w w:val="125"/>
          <w:sz w:val="9"/>
        </w:rPr>
        <w:t>fiscale</w:t>
      </w:r>
      <w:r>
        <w:rPr>
          <w:rFonts w:ascii="Times New Roman"/>
          <w:w w:val="125"/>
          <w:sz w:val="9"/>
        </w:rPr>
        <w:t> </w:t>
      </w:r>
      <w:r>
        <w:rPr>
          <w:rFonts w:ascii="Times New Roman"/>
          <w:w w:val="125"/>
          <w:sz w:val="9"/>
        </w:rPr>
        <w:t>Biochemtex</w:t>
      </w:r>
      <w:r>
        <w:rPr>
          <w:rFonts w:ascii="Times New Roman"/>
          <w:spacing w:val="-15"/>
          <w:w w:val="125"/>
          <w:sz w:val="9"/>
        </w:rPr>
        <w:t> </w:t>
      </w:r>
      <w:r>
        <w:rPr>
          <w:rFonts w:ascii="Times New Roman"/>
          <w:w w:val="125"/>
          <w:sz w:val="9"/>
        </w:rPr>
        <w:t>Agro</w:t>
        <w:tab/>
        <w:t>96.309   </w:t>
      </w:r>
      <w:r>
        <w:rPr>
          <w:rFonts w:ascii="Times New Roman"/>
          <w:spacing w:val="4"/>
          <w:w w:val="125"/>
          <w:sz w:val="9"/>
        </w:rPr>
        <w:t> </w:t>
      </w:r>
      <w:r>
        <w:rPr>
          <w:rFonts w:ascii="Times New Roman"/>
          <w:w w:val="125"/>
          <w:sz w:val="9"/>
        </w:rPr>
        <w:t>Finanziari</w:t>
        <w:tab/>
        <w:t>Interessi</w:t>
      </w:r>
    </w:p>
    <w:p>
      <w:pPr>
        <w:tabs>
          <w:tab w:pos="2900" w:val="left" w:leader="none"/>
        </w:tabs>
        <w:spacing w:line="103" w:lineRule="exact" w:before="0"/>
        <w:ind w:left="1070" w:right="0" w:firstLine="0"/>
        <w:jc w:val="both"/>
        <w:rPr>
          <w:rFonts w:ascii="Times New Roman"/>
          <w:sz w:val="9"/>
        </w:rPr>
      </w:pPr>
      <w:r>
        <w:rPr>
          <w:rFonts w:ascii="Times New Roman"/>
          <w:w w:val="125"/>
          <w:sz w:val="9"/>
        </w:rPr>
        <w:t>Biochemtex</w:t>
      </w:r>
      <w:r>
        <w:rPr>
          <w:rFonts w:ascii="Times New Roman"/>
          <w:spacing w:val="-15"/>
          <w:w w:val="125"/>
          <w:sz w:val="9"/>
        </w:rPr>
        <w:t> </w:t>
      </w:r>
      <w:r>
        <w:rPr>
          <w:rFonts w:ascii="Times New Roman"/>
          <w:w w:val="125"/>
          <w:sz w:val="9"/>
        </w:rPr>
        <w:t>Agro</w:t>
        <w:tab/>
        <w:t>31.800    </w:t>
      </w:r>
      <w:r>
        <w:rPr>
          <w:rFonts w:ascii="Times New Roman"/>
          <w:spacing w:val="-3"/>
          <w:w w:val="125"/>
          <w:sz w:val="9"/>
        </w:rPr>
        <w:t>Commerciali      </w:t>
      </w:r>
      <w:r>
        <w:rPr>
          <w:rFonts w:ascii="Times New Roman"/>
          <w:spacing w:val="15"/>
          <w:w w:val="125"/>
          <w:sz w:val="9"/>
        </w:rPr>
        <w:t> </w:t>
      </w:r>
      <w:r>
        <w:rPr>
          <w:rFonts w:ascii="Times New Roman"/>
          <w:w w:val="125"/>
          <w:sz w:val="9"/>
        </w:rPr>
        <w:t>Servizi</w:t>
      </w:r>
    </w:p>
    <w:p>
      <w:pPr>
        <w:tabs>
          <w:tab w:pos="3060" w:val="left" w:leader="none"/>
          <w:tab w:pos="4088" w:val="left" w:leader="none"/>
        </w:tabs>
        <w:spacing w:before="25"/>
        <w:ind w:left="1070" w:right="0" w:firstLine="0"/>
        <w:jc w:val="both"/>
        <w:rPr>
          <w:rFonts w:ascii="Times New Roman"/>
          <w:sz w:val="9"/>
        </w:rPr>
      </w:pPr>
      <w:r>
        <w:rPr>
          <w:rFonts w:ascii="Times New Roman"/>
          <w:spacing w:val="2"/>
          <w:w w:val="125"/>
          <w:sz w:val="9"/>
        </w:rPr>
        <w:t>Hepta</w:t>
      </w:r>
      <w:r>
        <w:rPr>
          <w:rFonts w:ascii="Times New Roman"/>
          <w:spacing w:val="-4"/>
          <w:w w:val="125"/>
          <w:sz w:val="9"/>
        </w:rPr>
        <w:t> </w:t>
      </w:r>
      <w:r>
        <w:rPr>
          <w:rFonts w:ascii="Times New Roman"/>
          <w:w w:val="125"/>
          <w:sz w:val="9"/>
        </w:rPr>
        <w:t>Italia</w:t>
      </w:r>
      <w:r>
        <w:rPr>
          <w:rFonts w:ascii="Times New Roman"/>
          <w:spacing w:val="-3"/>
          <w:w w:val="125"/>
          <w:sz w:val="9"/>
        </w:rPr>
        <w:t> </w:t>
      </w:r>
      <w:r>
        <w:rPr>
          <w:rFonts w:ascii="Times New Roman"/>
          <w:w w:val="125"/>
          <w:sz w:val="9"/>
        </w:rPr>
        <w:t>srl</w:t>
        <w:tab/>
        <w:t>-       </w:t>
      </w:r>
      <w:r>
        <w:rPr>
          <w:rFonts w:ascii="Times New Roman"/>
          <w:spacing w:val="5"/>
          <w:w w:val="125"/>
          <w:sz w:val="9"/>
        </w:rPr>
        <w:t> </w:t>
      </w:r>
      <w:r>
        <w:rPr>
          <w:rFonts w:ascii="Times New Roman"/>
          <w:w w:val="125"/>
          <w:sz w:val="9"/>
        </w:rPr>
        <w:t>Finanziari</w:t>
        <w:tab/>
        <w:t>Interessi</w:t>
      </w:r>
    </w:p>
    <w:p>
      <w:pPr>
        <w:tabs>
          <w:tab w:pos="2758" w:val="left" w:leader="none"/>
        </w:tabs>
        <w:spacing w:before="23"/>
        <w:ind w:left="1070" w:right="0" w:firstLine="0"/>
        <w:jc w:val="both"/>
        <w:rPr>
          <w:rFonts w:ascii="Times New Roman"/>
          <w:sz w:val="9"/>
        </w:rPr>
      </w:pPr>
      <w:r>
        <w:rPr>
          <w:rFonts w:ascii="Times New Roman"/>
          <w:w w:val="125"/>
          <w:sz w:val="9"/>
        </w:rPr>
        <w:t>Italian</w:t>
      </w:r>
      <w:r>
        <w:rPr>
          <w:rFonts w:ascii="Times New Roman"/>
          <w:spacing w:val="-4"/>
          <w:w w:val="125"/>
          <w:sz w:val="9"/>
        </w:rPr>
        <w:t> </w:t>
      </w:r>
      <w:r>
        <w:rPr>
          <w:rFonts w:ascii="Times New Roman"/>
          <w:w w:val="125"/>
          <w:sz w:val="9"/>
        </w:rPr>
        <w:t>Bio</w:t>
      </w:r>
      <w:r>
        <w:rPr>
          <w:rFonts w:ascii="Times New Roman"/>
          <w:spacing w:val="-2"/>
          <w:w w:val="125"/>
          <w:sz w:val="9"/>
        </w:rPr>
        <w:t> </w:t>
      </w:r>
      <w:r>
        <w:rPr>
          <w:rFonts w:ascii="Times New Roman"/>
          <w:w w:val="125"/>
          <w:sz w:val="9"/>
        </w:rPr>
        <w:t>Products</w:t>
        <w:tab/>
        <w:t>5.262.678    </w:t>
      </w:r>
      <w:r>
        <w:rPr>
          <w:rFonts w:ascii="Times New Roman"/>
          <w:spacing w:val="-3"/>
          <w:w w:val="125"/>
          <w:sz w:val="9"/>
        </w:rPr>
        <w:t>Commerciali       </w:t>
      </w:r>
      <w:r>
        <w:rPr>
          <w:rFonts w:ascii="Times New Roman"/>
          <w:w w:val="125"/>
          <w:sz w:val="9"/>
        </w:rPr>
        <w:t>Servizi</w:t>
      </w:r>
      <w:r>
        <w:rPr>
          <w:rFonts w:ascii="Times New Roman"/>
          <w:spacing w:val="12"/>
          <w:w w:val="125"/>
          <w:sz w:val="9"/>
        </w:rPr>
        <w:t> </w:t>
      </w:r>
      <w:r>
        <w:rPr>
          <w:rFonts w:ascii="Times New Roman"/>
          <w:w w:val="125"/>
          <w:sz w:val="9"/>
        </w:rPr>
        <w:t>resi</w:t>
      </w:r>
    </w:p>
    <w:p>
      <w:pPr>
        <w:tabs>
          <w:tab w:pos="2843" w:val="left" w:leader="none"/>
          <w:tab w:pos="4088" w:val="left" w:leader="none"/>
        </w:tabs>
        <w:spacing w:before="24"/>
        <w:ind w:left="1070" w:right="0" w:firstLine="0"/>
        <w:jc w:val="both"/>
        <w:rPr>
          <w:rFonts w:ascii="Times New Roman"/>
          <w:sz w:val="9"/>
        </w:rPr>
      </w:pPr>
      <w:r>
        <w:rPr>
          <w:rFonts w:ascii="Times New Roman"/>
          <w:w w:val="125"/>
          <w:sz w:val="9"/>
        </w:rPr>
        <w:t>Italian</w:t>
      </w:r>
      <w:r>
        <w:rPr>
          <w:rFonts w:ascii="Times New Roman"/>
          <w:spacing w:val="-4"/>
          <w:w w:val="125"/>
          <w:sz w:val="9"/>
        </w:rPr>
        <w:t> </w:t>
      </w:r>
      <w:r>
        <w:rPr>
          <w:rFonts w:ascii="Times New Roman"/>
          <w:w w:val="125"/>
          <w:sz w:val="9"/>
        </w:rPr>
        <w:t>Bio</w:t>
      </w:r>
      <w:r>
        <w:rPr>
          <w:rFonts w:ascii="Times New Roman"/>
          <w:spacing w:val="-2"/>
          <w:w w:val="125"/>
          <w:sz w:val="9"/>
        </w:rPr>
        <w:t> </w:t>
      </w:r>
      <w:r>
        <w:rPr>
          <w:rFonts w:ascii="Times New Roman"/>
          <w:w w:val="125"/>
          <w:sz w:val="9"/>
        </w:rPr>
        <w:t>Products</w:t>
        <w:tab/>
        <w:t>287.360   </w:t>
      </w:r>
      <w:r>
        <w:rPr>
          <w:rFonts w:ascii="Times New Roman"/>
          <w:spacing w:val="4"/>
          <w:w w:val="125"/>
          <w:sz w:val="9"/>
        </w:rPr>
        <w:t> </w:t>
      </w:r>
      <w:r>
        <w:rPr>
          <w:rFonts w:ascii="Times New Roman"/>
          <w:w w:val="125"/>
          <w:sz w:val="9"/>
        </w:rPr>
        <w:t>Finanziari</w:t>
        <w:tab/>
        <w:t>Interessi</w:t>
      </w:r>
    </w:p>
    <w:p>
      <w:pPr>
        <w:tabs>
          <w:tab w:pos="2899" w:val="left" w:leader="none"/>
          <w:tab w:pos="4088" w:val="left" w:leader="none"/>
        </w:tabs>
        <w:spacing w:before="23"/>
        <w:ind w:left="1070" w:right="0" w:firstLine="0"/>
        <w:jc w:val="both"/>
        <w:rPr>
          <w:rFonts w:ascii="Times New Roman"/>
          <w:sz w:val="9"/>
        </w:rPr>
      </w:pPr>
      <w:r>
        <w:rPr>
          <w:rFonts w:ascii="Times New Roman"/>
          <w:w w:val="125"/>
          <w:sz w:val="9"/>
        </w:rPr>
        <w:t>IBP</w:t>
      </w:r>
      <w:r>
        <w:rPr>
          <w:rFonts w:ascii="Times New Roman"/>
          <w:spacing w:val="6"/>
          <w:w w:val="125"/>
          <w:sz w:val="9"/>
        </w:rPr>
        <w:t> </w:t>
      </w:r>
      <w:r>
        <w:rPr>
          <w:rFonts w:ascii="Times New Roman"/>
          <w:spacing w:val="-4"/>
          <w:w w:val="125"/>
          <w:sz w:val="9"/>
        </w:rPr>
        <w:t>Energia</w:t>
        <w:tab/>
      </w:r>
      <w:r>
        <w:rPr>
          <w:rFonts w:ascii="Times New Roman"/>
          <w:w w:val="125"/>
          <w:sz w:val="9"/>
        </w:rPr>
        <w:t>36.182   </w:t>
      </w:r>
      <w:r>
        <w:rPr>
          <w:rFonts w:ascii="Times New Roman"/>
          <w:spacing w:val="4"/>
          <w:w w:val="125"/>
          <w:sz w:val="9"/>
        </w:rPr>
        <w:t> </w:t>
      </w:r>
      <w:r>
        <w:rPr>
          <w:rFonts w:ascii="Times New Roman"/>
          <w:w w:val="125"/>
          <w:sz w:val="9"/>
        </w:rPr>
        <w:t>Finanziari</w:t>
        <w:tab/>
        <w:t>Interessi</w:t>
      </w:r>
    </w:p>
    <w:p>
      <w:pPr>
        <w:tabs>
          <w:tab w:pos="2956" w:val="left" w:leader="none"/>
        </w:tabs>
        <w:spacing w:before="23"/>
        <w:ind w:left="1070" w:right="0" w:firstLine="0"/>
        <w:jc w:val="both"/>
        <w:rPr>
          <w:rFonts w:ascii="Times New Roman"/>
          <w:sz w:val="9"/>
        </w:rPr>
      </w:pPr>
      <w:r>
        <w:rPr>
          <w:rFonts w:ascii="Times New Roman"/>
          <w:w w:val="125"/>
          <w:sz w:val="9"/>
        </w:rPr>
        <w:t>IBP</w:t>
      </w:r>
      <w:r>
        <w:rPr>
          <w:rFonts w:ascii="Times New Roman"/>
          <w:spacing w:val="6"/>
          <w:w w:val="125"/>
          <w:sz w:val="9"/>
        </w:rPr>
        <w:t> </w:t>
      </w:r>
      <w:r>
        <w:rPr>
          <w:rFonts w:ascii="Times New Roman"/>
          <w:spacing w:val="-4"/>
          <w:w w:val="125"/>
          <w:sz w:val="9"/>
        </w:rPr>
        <w:t>Energia</w:t>
        <w:tab/>
      </w:r>
      <w:r>
        <w:rPr>
          <w:rFonts w:ascii="Times New Roman"/>
          <w:w w:val="125"/>
          <w:sz w:val="9"/>
        </w:rPr>
        <w:t>1.800    </w:t>
      </w:r>
      <w:r>
        <w:rPr>
          <w:rFonts w:ascii="Times New Roman"/>
          <w:spacing w:val="-3"/>
          <w:w w:val="125"/>
          <w:sz w:val="9"/>
        </w:rPr>
        <w:t>Commerciali       </w:t>
      </w:r>
      <w:r>
        <w:rPr>
          <w:rFonts w:ascii="Times New Roman"/>
          <w:w w:val="125"/>
          <w:sz w:val="9"/>
        </w:rPr>
        <w:t>Servizi</w:t>
      </w:r>
      <w:r>
        <w:rPr>
          <w:rFonts w:ascii="Times New Roman"/>
          <w:spacing w:val="14"/>
          <w:w w:val="125"/>
          <w:sz w:val="9"/>
        </w:rPr>
        <w:t> </w:t>
      </w:r>
      <w:r>
        <w:rPr>
          <w:rFonts w:ascii="Times New Roman"/>
          <w:w w:val="125"/>
          <w:sz w:val="9"/>
        </w:rPr>
        <w:t>resi</w:t>
      </w:r>
    </w:p>
    <w:p>
      <w:pPr>
        <w:tabs>
          <w:tab w:pos="2758" w:val="left" w:leader="none"/>
        </w:tabs>
        <w:spacing w:before="24"/>
        <w:ind w:left="476" w:right="0" w:firstLine="594"/>
        <w:jc w:val="left"/>
        <w:rPr>
          <w:rFonts w:ascii="Times New Roman"/>
          <w:sz w:val="9"/>
        </w:rPr>
      </w:pPr>
      <w:r>
        <w:rPr>
          <w:rFonts w:ascii="Times New Roman"/>
          <w:w w:val="125"/>
          <w:sz w:val="9"/>
        </w:rPr>
        <w:t>Beta</w:t>
      </w:r>
      <w:r>
        <w:rPr>
          <w:rFonts w:ascii="Times New Roman"/>
          <w:spacing w:val="-8"/>
          <w:w w:val="125"/>
          <w:sz w:val="9"/>
        </w:rPr>
        <w:t> </w:t>
      </w:r>
      <w:r>
        <w:rPr>
          <w:rFonts w:ascii="Times New Roman"/>
          <w:w w:val="125"/>
          <w:sz w:val="9"/>
        </w:rPr>
        <w:t>Renewables</w:t>
        <w:tab/>
        <w:t>6.050.000    </w:t>
      </w:r>
      <w:r>
        <w:rPr>
          <w:rFonts w:ascii="Times New Roman"/>
          <w:spacing w:val="-3"/>
          <w:w w:val="125"/>
          <w:sz w:val="9"/>
        </w:rPr>
        <w:t>Commerciali       </w:t>
      </w:r>
      <w:r>
        <w:rPr>
          <w:rFonts w:ascii="Times New Roman"/>
          <w:w w:val="125"/>
          <w:sz w:val="9"/>
        </w:rPr>
        <w:t>Servizi</w:t>
      </w:r>
      <w:r>
        <w:rPr>
          <w:rFonts w:ascii="Times New Roman"/>
          <w:spacing w:val="12"/>
          <w:w w:val="125"/>
          <w:sz w:val="9"/>
        </w:rPr>
        <w:t> </w:t>
      </w:r>
      <w:r>
        <w:rPr>
          <w:rFonts w:ascii="Times New Roman"/>
          <w:w w:val="125"/>
          <w:sz w:val="9"/>
        </w:rPr>
        <w:t>resi</w:t>
      </w:r>
    </w:p>
    <w:p>
      <w:pPr>
        <w:tabs>
          <w:tab w:pos="2899" w:val="left" w:leader="none"/>
        </w:tabs>
        <w:spacing w:line="146" w:lineRule="exact" w:before="23"/>
        <w:ind w:left="476" w:right="0" w:firstLine="0"/>
        <w:jc w:val="left"/>
        <w:rPr>
          <w:rFonts w:ascii="Times New Roman"/>
          <w:sz w:val="9"/>
        </w:rPr>
      </w:pPr>
      <w:r>
        <w:rPr>
          <w:rFonts w:ascii="Times New Roman"/>
          <w:b/>
          <w:w w:val="125"/>
          <w:position w:val="-5"/>
          <w:sz w:val="9"/>
        </w:rPr>
        <w:t>31/12/2014 </w:t>
      </w:r>
      <w:r>
        <w:rPr>
          <w:rFonts w:ascii="Times New Roman"/>
          <w:b/>
          <w:spacing w:val="24"/>
          <w:w w:val="125"/>
          <w:position w:val="-5"/>
          <w:sz w:val="9"/>
        </w:rPr>
        <w:t> </w:t>
      </w:r>
      <w:r>
        <w:rPr>
          <w:rFonts w:ascii="Times New Roman"/>
          <w:w w:val="125"/>
          <w:sz w:val="9"/>
        </w:rPr>
        <w:t>C5</w:t>
      </w:r>
      <w:r>
        <w:rPr>
          <w:rFonts w:ascii="Times New Roman"/>
          <w:spacing w:val="-2"/>
          <w:w w:val="125"/>
          <w:sz w:val="9"/>
        </w:rPr>
        <w:t> </w:t>
      </w:r>
      <w:r>
        <w:rPr>
          <w:rFonts w:ascii="Times New Roman"/>
          <w:w w:val="125"/>
          <w:sz w:val="9"/>
        </w:rPr>
        <w:t>6</w:t>
        <w:tab/>
        <w:t>25.000    </w:t>
      </w:r>
      <w:r>
        <w:rPr>
          <w:rFonts w:ascii="Times New Roman"/>
          <w:spacing w:val="-3"/>
          <w:w w:val="125"/>
          <w:sz w:val="9"/>
        </w:rPr>
        <w:t>Commerciali       </w:t>
      </w:r>
      <w:r>
        <w:rPr>
          <w:rFonts w:ascii="Times New Roman"/>
          <w:w w:val="125"/>
          <w:sz w:val="9"/>
        </w:rPr>
        <w:t>Servizi</w:t>
      </w:r>
      <w:r>
        <w:rPr>
          <w:rFonts w:ascii="Times New Roman"/>
          <w:spacing w:val="14"/>
          <w:w w:val="125"/>
          <w:sz w:val="9"/>
        </w:rPr>
        <w:t> </w:t>
      </w:r>
      <w:r>
        <w:rPr>
          <w:rFonts w:ascii="Times New Roman"/>
          <w:w w:val="125"/>
          <w:sz w:val="9"/>
        </w:rPr>
        <w:t>resi</w:t>
      </w:r>
    </w:p>
    <w:p>
      <w:pPr>
        <w:tabs>
          <w:tab w:pos="2899" w:val="left" w:leader="none"/>
          <w:tab w:pos="4088" w:val="left" w:leader="none"/>
        </w:tabs>
        <w:spacing w:line="86" w:lineRule="exact" w:before="0"/>
        <w:ind w:left="1070" w:right="0" w:firstLine="0"/>
        <w:jc w:val="both"/>
        <w:rPr>
          <w:rFonts w:ascii="Times New Roman"/>
          <w:sz w:val="9"/>
        </w:rPr>
      </w:pPr>
      <w:r>
        <w:rPr>
          <w:rFonts w:ascii="Times New Roman"/>
          <w:w w:val="125"/>
          <w:sz w:val="9"/>
        </w:rPr>
        <w:t>C5 6</w:t>
        <w:tab/>
        <w:t>29.422   </w:t>
      </w:r>
      <w:r>
        <w:rPr>
          <w:rFonts w:ascii="Times New Roman"/>
          <w:spacing w:val="5"/>
          <w:w w:val="125"/>
          <w:sz w:val="9"/>
        </w:rPr>
        <w:t> </w:t>
      </w:r>
      <w:r>
        <w:rPr>
          <w:rFonts w:ascii="Times New Roman"/>
          <w:w w:val="125"/>
          <w:sz w:val="9"/>
        </w:rPr>
        <w:t>Finanziari</w:t>
        <w:tab/>
        <w:t>Interessi</w:t>
      </w:r>
    </w:p>
    <w:p>
      <w:pPr>
        <w:tabs>
          <w:tab w:pos="3060" w:val="left" w:leader="none"/>
          <w:tab w:pos="4088" w:val="left" w:leader="none"/>
        </w:tabs>
        <w:spacing w:before="24"/>
        <w:ind w:left="1070" w:right="0" w:firstLine="0"/>
        <w:jc w:val="both"/>
        <w:rPr>
          <w:rFonts w:ascii="Times New Roman"/>
          <w:sz w:val="9"/>
        </w:rPr>
      </w:pPr>
      <w:r>
        <w:rPr>
          <w:rFonts w:ascii="Times New Roman"/>
          <w:spacing w:val="6"/>
          <w:w w:val="125"/>
          <w:sz w:val="9"/>
        </w:rPr>
        <w:t>MG</w:t>
      </w:r>
      <w:r>
        <w:rPr>
          <w:rFonts w:ascii="Times New Roman"/>
          <w:spacing w:val="3"/>
          <w:w w:val="125"/>
          <w:sz w:val="9"/>
        </w:rPr>
        <w:t> </w:t>
      </w:r>
      <w:r>
        <w:rPr>
          <w:rFonts w:ascii="Times New Roman"/>
          <w:w w:val="125"/>
          <w:sz w:val="9"/>
        </w:rPr>
        <w:t>Polimeros</w:t>
      </w:r>
      <w:r>
        <w:rPr>
          <w:rFonts w:ascii="Times New Roman"/>
          <w:spacing w:val="3"/>
          <w:w w:val="125"/>
          <w:sz w:val="9"/>
        </w:rPr>
        <w:t> </w:t>
      </w:r>
      <w:r>
        <w:rPr>
          <w:rFonts w:ascii="Times New Roman"/>
          <w:w w:val="125"/>
          <w:sz w:val="9"/>
        </w:rPr>
        <w:t>Messico</w:t>
        <w:tab/>
        <w:t>-       </w:t>
      </w:r>
      <w:r>
        <w:rPr>
          <w:rFonts w:ascii="Times New Roman"/>
          <w:spacing w:val="6"/>
          <w:w w:val="125"/>
          <w:sz w:val="9"/>
        </w:rPr>
        <w:t> </w:t>
      </w:r>
      <w:r>
        <w:rPr>
          <w:rFonts w:ascii="Times New Roman"/>
          <w:w w:val="125"/>
          <w:sz w:val="9"/>
        </w:rPr>
        <w:t>Finanziari</w:t>
        <w:tab/>
        <w:t>Interessi</w:t>
      </w:r>
    </w:p>
    <w:p>
      <w:pPr>
        <w:tabs>
          <w:tab w:pos="3210" w:val="right" w:leader="none"/>
        </w:tabs>
        <w:spacing w:before="26"/>
        <w:ind w:left="1070" w:right="0" w:firstLine="0"/>
        <w:jc w:val="left"/>
        <w:rPr>
          <w:rFonts w:ascii="Times New Roman"/>
          <w:b/>
          <w:sz w:val="9"/>
        </w:rPr>
      </w:pPr>
      <w:r>
        <w:rPr/>
        <w:pict>
          <v:group style="position:absolute;margin-left:137.919998pt;margin-top:.652528pt;width:278.650pt;height:.5pt;mso-position-horizontal-relative:page;mso-position-vertical-relative:paragraph;z-index:2200" coordorigin="2758,13" coordsize="5573,10">
            <v:line style="position:absolute" from="2761,14" to="8327,14" stroked="true" strokeweight=".06pt" strokecolor="#000000">
              <v:stroke dashstyle="solid"/>
            </v:line>
            <v:line style="position:absolute" from="2762,19" to="8327,19" stroked="true" strokeweight=".36002pt" strokecolor="#000000">
              <v:stroke dashstyle="solid"/>
            </v:line>
            <w10:wrap type="none"/>
          </v:group>
        </w:pict>
      </w:r>
      <w:r>
        <w:rPr>
          <w:rFonts w:ascii="Times New Roman"/>
          <w:b/>
          <w:w w:val="125"/>
          <w:sz w:val="9"/>
        </w:rPr>
        <w:t>Costi</w:t>
        <w:tab/>
        <w:t>23.977.202</w:t>
      </w:r>
    </w:p>
    <w:p>
      <w:pPr>
        <w:tabs>
          <w:tab w:pos="3060" w:val="left" w:leader="none"/>
        </w:tabs>
        <w:spacing w:before="22"/>
        <w:ind w:left="1070" w:right="0" w:firstLine="0"/>
        <w:jc w:val="both"/>
        <w:rPr>
          <w:rFonts w:ascii="Times New Roman"/>
          <w:sz w:val="9"/>
        </w:rPr>
      </w:pPr>
      <w:r>
        <w:rPr>
          <w:rFonts w:ascii="Times New Roman"/>
          <w:w w:val="125"/>
          <w:sz w:val="9"/>
        </w:rPr>
        <w:t>Acetati</w:t>
      </w:r>
      <w:r>
        <w:rPr>
          <w:rFonts w:ascii="Times New Roman"/>
          <w:spacing w:val="-1"/>
          <w:w w:val="125"/>
          <w:sz w:val="9"/>
        </w:rPr>
        <w:t> </w:t>
      </w:r>
      <w:r>
        <w:rPr>
          <w:rFonts w:ascii="Times New Roman"/>
          <w:w w:val="125"/>
          <w:sz w:val="9"/>
        </w:rPr>
        <w:t>Spa</w:t>
        <w:tab/>
        <w:t>-        </w:t>
      </w:r>
      <w:r>
        <w:rPr>
          <w:rFonts w:ascii="Times New Roman"/>
          <w:spacing w:val="-3"/>
          <w:w w:val="125"/>
          <w:sz w:val="9"/>
        </w:rPr>
        <w:t>Commerciali       </w:t>
      </w:r>
      <w:r>
        <w:rPr>
          <w:rFonts w:ascii="Times New Roman"/>
          <w:w w:val="125"/>
          <w:sz w:val="9"/>
        </w:rPr>
        <w:t>Rifatturazione </w:t>
      </w:r>
      <w:r>
        <w:rPr>
          <w:rFonts w:ascii="Times New Roman"/>
          <w:spacing w:val="4"/>
          <w:w w:val="125"/>
          <w:sz w:val="9"/>
        </w:rPr>
        <w:t> </w:t>
      </w:r>
      <w:r>
        <w:rPr>
          <w:rFonts w:ascii="Times New Roman"/>
          <w:w w:val="125"/>
          <w:sz w:val="9"/>
        </w:rPr>
        <w:t>costi</w:t>
      </w:r>
    </w:p>
    <w:p>
      <w:pPr>
        <w:tabs>
          <w:tab w:pos="2758" w:val="left" w:leader="none"/>
          <w:tab w:pos="2843" w:val="left" w:leader="none"/>
          <w:tab w:pos="4087" w:val="left" w:leader="none"/>
        </w:tabs>
        <w:spacing w:line="297" w:lineRule="auto" w:before="23"/>
        <w:ind w:left="1070" w:right="3702" w:firstLine="0"/>
        <w:jc w:val="left"/>
        <w:rPr>
          <w:rFonts w:ascii="Times New Roman"/>
          <w:sz w:val="9"/>
        </w:rPr>
      </w:pPr>
      <w:r>
        <w:rPr>
          <w:rFonts w:ascii="Times New Roman"/>
          <w:spacing w:val="3"/>
          <w:w w:val="125"/>
          <w:sz w:val="9"/>
        </w:rPr>
        <w:t>Mossi </w:t>
      </w:r>
      <w:r>
        <w:rPr>
          <w:rFonts w:ascii="Times New Roman"/>
          <w:w w:val="125"/>
          <w:sz w:val="9"/>
        </w:rPr>
        <w:t>&amp;</w:t>
      </w:r>
      <w:r>
        <w:rPr>
          <w:rFonts w:ascii="Times New Roman"/>
          <w:spacing w:val="-6"/>
          <w:w w:val="125"/>
          <w:sz w:val="9"/>
        </w:rPr>
        <w:t> </w:t>
      </w:r>
      <w:r>
        <w:rPr>
          <w:rFonts w:ascii="Times New Roman"/>
          <w:w w:val="125"/>
          <w:sz w:val="9"/>
        </w:rPr>
        <w:t>Ghisolfi</w:t>
      </w:r>
      <w:r>
        <w:rPr>
          <w:rFonts w:ascii="Times New Roman"/>
          <w:spacing w:val="-2"/>
          <w:w w:val="125"/>
          <w:sz w:val="9"/>
        </w:rPr>
        <w:t> </w:t>
      </w:r>
      <w:r>
        <w:rPr>
          <w:rFonts w:ascii="Times New Roman"/>
          <w:w w:val="125"/>
          <w:sz w:val="9"/>
        </w:rPr>
        <w:t>S.p.A.</w:t>
        <w:tab/>
        <w:t>8.494.717   </w:t>
      </w:r>
      <w:r>
        <w:rPr>
          <w:rFonts w:ascii="Times New Roman"/>
          <w:spacing w:val="1"/>
          <w:w w:val="125"/>
          <w:sz w:val="9"/>
        </w:rPr>
        <w:t> </w:t>
      </w:r>
      <w:r>
        <w:rPr>
          <w:rFonts w:ascii="Times New Roman"/>
          <w:w w:val="125"/>
          <w:sz w:val="9"/>
        </w:rPr>
        <w:t>Oneri</w:t>
      </w:r>
      <w:r>
        <w:rPr>
          <w:rFonts w:ascii="Times New Roman"/>
          <w:spacing w:val="-6"/>
          <w:w w:val="125"/>
          <w:sz w:val="9"/>
        </w:rPr>
        <w:t> </w:t>
      </w:r>
      <w:r>
        <w:rPr>
          <w:rFonts w:ascii="Times New Roman"/>
          <w:w w:val="125"/>
          <w:sz w:val="9"/>
        </w:rPr>
        <w:t>fiscali</w:t>
        <w:tab/>
        <w:t>Oneri adesione</w:t>
      </w:r>
      <w:r>
        <w:rPr>
          <w:rFonts w:ascii="Times New Roman"/>
          <w:spacing w:val="-13"/>
          <w:w w:val="125"/>
          <w:sz w:val="9"/>
        </w:rPr>
        <w:t> </w:t>
      </w:r>
      <w:r>
        <w:rPr>
          <w:rFonts w:ascii="Times New Roman"/>
          <w:w w:val="125"/>
          <w:sz w:val="9"/>
        </w:rPr>
        <w:t>consolidato</w:t>
      </w:r>
      <w:r>
        <w:rPr>
          <w:rFonts w:ascii="Times New Roman"/>
          <w:spacing w:val="-3"/>
          <w:w w:val="125"/>
          <w:sz w:val="9"/>
        </w:rPr>
        <w:t> fiscale</w:t>
      </w:r>
      <w:r>
        <w:rPr>
          <w:rFonts w:ascii="Times New Roman"/>
          <w:spacing w:val="-4"/>
          <w:w w:val="125"/>
          <w:sz w:val="9"/>
        </w:rPr>
        <w:t> </w:t>
      </w:r>
      <w:r>
        <w:rPr>
          <w:rFonts w:ascii="Times New Roman"/>
          <w:w w:val="125"/>
          <w:sz w:val="9"/>
        </w:rPr>
        <w:t>C5 6</w:t>
        <w:tab/>
        <w:tab/>
        <w:t>769.734    </w:t>
      </w:r>
      <w:r>
        <w:rPr>
          <w:rFonts w:ascii="Times New Roman"/>
          <w:spacing w:val="-3"/>
          <w:w w:val="125"/>
          <w:sz w:val="9"/>
        </w:rPr>
        <w:t>Commerciali       </w:t>
      </w:r>
      <w:r>
        <w:rPr>
          <w:rFonts w:ascii="Times New Roman"/>
          <w:w w:val="125"/>
          <w:sz w:val="9"/>
        </w:rPr>
        <w:t>Servizi</w:t>
      </w:r>
      <w:r>
        <w:rPr>
          <w:rFonts w:ascii="Times New Roman"/>
          <w:spacing w:val="10"/>
          <w:w w:val="125"/>
          <w:sz w:val="9"/>
        </w:rPr>
        <w:t> </w:t>
      </w:r>
      <w:r>
        <w:rPr>
          <w:rFonts w:ascii="Times New Roman"/>
          <w:w w:val="125"/>
          <w:sz w:val="9"/>
        </w:rPr>
        <w:t>ricevuti</w:t>
      </w:r>
    </w:p>
    <w:p>
      <w:pPr>
        <w:tabs>
          <w:tab w:pos="2758" w:val="left" w:leader="none"/>
          <w:tab w:pos="2843" w:val="left" w:leader="none"/>
          <w:tab w:pos="3060" w:val="left" w:leader="none"/>
        </w:tabs>
        <w:spacing w:line="295" w:lineRule="auto" w:before="0"/>
        <w:ind w:left="1070" w:right="4546" w:firstLine="0"/>
        <w:jc w:val="both"/>
        <w:rPr>
          <w:rFonts w:ascii="Times New Roman"/>
          <w:sz w:val="9"/>
        </w:rPr>
      </w:pPr>
      <w:r>
        <w:rPr>
          <w:rFonts w:ascii="Times New Roman"/>
          <w:w w:val="125"/>
          <w:sz w:val="9"/>
        </w:rPr>
        <w:t>Biochemtex</w:t>
      </w:r>
      <w:r>
        <w:rPr>
          <w:rFonts w:ascii="Times New Roman"/>
          <w:spacing w:val="-15"/>
          <w:w w:val="125"/>
          <w:sz w:val="9"/>
        </w:rPr>
        <w:t> </w:t>
      </w:r>
      <w:r>
        <w:rPr>
          <w:rFonts w:ascii="Times New Roman"/>
          <w:w w:val="125"/>
          <w:sz w:val="9"/>
        </w:rPr>
        <w:t>Agro</w:t>
        <w:tab/>
        <w:tab/>
        <w:t>817.291    </w:t>
      </w:r>
      <w:r>
        <w:rPr>
          <w:rFonts w:ascii="Times New Roman"/>
          <w:spacing w:val="-3"/>
          <w:w w:val="125"/>
          <w:sz w:val="9"/>
        </w:rPr>
        <w:t>Commerciali      </w:t>
      </w:r>
      <w:r>
        <w:rPr>
          <w:rFonts w:ascii="Times New Roman"/>
          <w:spacing w:val="10"/>
          <w:w w:val="125"/>
          <w:sz w:val="9"/>
        </w:rPr>
        <w:t> </w:t>
      </w:r>
      <w:r>
        <w:rPr>
          <w:rFonts w:ascii="Times New Roman"/>
          <w:w w:val="125"/>
          <w:sz w:val="9"/>
        </w:rPr>
        <w:t>Servizi</w:t>
      </w:r>
      <w:r>
        <w:rPr>
          <w:rFonts w:ascii="Times New Roman"/>
          <w:spacing w:val="-4"/>
          <w:w w:val="125"/>
          <w:sz w:val="9"/>
        </w:rPr>
        <w:t> </w:t>
      </w:r>
      <w:r>
        <w:rPr>
          <w:rFonts w:ascii="Times New Roman"/>
          <w:w w:val="125"/>
          <w:sz w:val="9"/>
        </w:rPr>
        <w:t>ricevuti</w:t>
      </w:r>
      <w:r>
        <w:rPr>
          <w:rFonts w:ascii="Times New Roman"/>
          <w:w w:val="125"/>
          <w:sz w:val="9"/>
        </w:rPr>
        <w:t> </w:t>
      </w:r>
      <w:r>
        <w:rPr>
          <w:rFonts w:ascii="Times New Roman"/>
          <w:spacing w:val="3"/>
          <w:w w:val="125"/>
          <w:sz w:val="9"/>
        </w:rPr>
        <w:t>M&amp;G</w:t>
      </w:r>
      <w:r>
        <w:rPr>
          <w:rFonts w:ascii="Times New Roman"/>
          <w:spacing w:val="-2"/>
          <w:w w:val="125"/>
          <w:sz w:val="9"/>
        </w:rPr>
        <w:t> </w:t>
      </w:r>
      <w:r>
        <w:rPr>
          <w:rFonts w:ascii="Times New Roman"/>
          <w:w w:val="125"/>
          <w:sz w:val="9"/>
        </w:rPr>
        <w:t>Polimeros</w:t>
      </w:r>
      <w:r>
        <w:rPr>
          <w:rFonts w:ascii="Times New Roman"/>
          <w:spacing w:val="-1"/>
          <w:w w:val="125"/>
          <w:sz w:val="9"/>
        </w:rPr>
        <w:t> </w:t>
      </w:r>
      <w:r>
        <w:rPr>
          <w:rFonts w:ascii="Times New Roman"/>
          <w:w w:val="125"/>
          <w:sz w:val="9"/>
        </w:rPr>
        <w:t>Brasile</w:t>
        <w:tab/>
        <w:tab/>
        <w:tab/>
        <w:t>-        </w:t>
      </w:r>
      <w:r>
        <w:rPr>
          <w:rFonts w:ascii="Times New Roman"/>
          <w:spacing w:val="-3"/>
          <w:w w:val="125"/>
          <w:sz w:val="9"/>
        </w:rPr>
        <w:t>Commerciali      </w:t>
      </w:r>
      <w:r>
        <w:rPr>
          <w:rFonts w:ascii="Times New Roman"/>
          <w:spacing w:val="13"/>
          <w:w w:val="125"/>
          <w:sz w:val="9"/>
        </w:rPr>
        <w:t> </w:t>
      </w:r>
      <w:r>
        <w:rPr>
          <w:rFonts w:ascii="Times New Roman"/>
          <w:w w:val="125"/>
          <w:sz w:val="9"/>
        </w:rPr>
        <w:t>Servizi</w:t>
      </w:r>
      <w:r>
        <w:rPr>
          <w:rFonts w:ascii="Times New Roman"/>
          <w:spacing w:val="-4"/>
          <w:w w:val="125"/>
          <w:sz w:val="9"/>
        </w:rPr>
        <w:t> </w:t>
      </w:r>
      <w:r>
        <w:rPr>
          <w:rFonts w:ascii="Times New Roman"/>
          <w:w w:val="125"/>
          <w:sz w:val="9"/>
        </w:rPr>
        <w:t>ricevuti</w:t>
      </w:r>
      <w:r>
        <w:rPr>
          <w:rFonts w:ascii="Times New Roman"/>
          <w:w w:val="125"/>
          <w:sz w:val="9"/>
        </w:rPr>
        <w:t> </w:t>
      </w:r>
      <w:r>
        <w:rPr>
          <w:rFonts w:ascii="Times New Roman"/>
          <w:w w:val="125"/>
          <w:sz w:val="9"/>
        </w:rPr>
        <w:t>Beta</w:t>
      </w:r>
      <w:r>
        <w:rPr>
          <w:rFonts w:ascii="Times New Roman"/>
          <w:spacing w:val="-8"/>
          <w:w w:val="125"/>
          <w:sz w:val="9"/>
        </w:rPr>
        <w:t> </w:t>
      </w:r>
      <w:r>
        <w:rPr>
          <w:rFonts w:ascii="Times New Roman"/>
          <w:w w:val="125"/>
          <w:sz w:val="9"/>
        </w:rPr>
        <w:t>Renewables</w:t>
        <w:tab/>
        <w:t>2.050.000    </w:t>
      </w:r>
      <w:r>
        <w:rPr>
          <w:rFonts w:ascii="Times New Roman"/>
          <w:spacing w:val="-3"/>
          <w:w w:val="125"/>
          <w:sz w:val="9"/>
        </w:rPr>
        <w:t>Commerciali       </w:t>
      </w:r>
      <w:r>
        <w:rPr>
          <w:rFonts w:ascii="Times New Roman"/>
          <w:w w:val="125"/>
          <w:sz w:val="9"/>
        </w:rPr>
        <w:t>Servizi</w:t>
      </w:r>
      <w:r>
        <w:rPr>
          <w:rFonts w:ascii="Times New Roman"/>
          <w:spacing w:val="8"/>
          <w:w w:val="125"/>
          <w:sz w:val="9"/>
        </w:rPr>
        <w:t> </w:t>
      </w:r>
      <w:r>
        <w:rPr>
          <w:rFonts w:ascii="Times New Roman"/>
          <w:w w:val="125"/>
          <w:sz w:val="9"/>
        </w:rPr>
        <w:t>ricevuti</w:t>
      </w:r>
    </w:p>
    <w:p>
      <w:pPr>
        <w:tabs>
          <w:tab w:pos="2843" w:val="left" w:leader="none"/>
          <w:tab w:pos="3060" w:val="left" w:leader="none"/>
          <w:tab w:pos="3334" w:val="left" w:leader="none"/>
          <w:tab w:pos="4087" w:val="left" w:leader="none"/>
        </w:tabs>
        <w:spacing w:line="297" w:lineRule="auto" w:before="1"/>
        <w:ind w:left="1070" w:right="3955" w:firstLine="0"/>
        <w:jc w:val="left"/>
        <w:rPr>
          <w:rFonts w:ascii="Times New Roman"/>
          <w:sz w:val="9"/>
        </w:rPr>
      </w:pPr>
      <w:r>
        <w:rPr>
          <w:rFonts w:ascii="Times New Roman"/>
          <w:w w:val="125"/>
          <w:sz w:val="9"/>
        </w:rPr>
        <w:t>IBP</w:t>
      </w:r>
      <w:r>
        <w:rPr>
          <w:rFonts w:ascii="Times New Roman"/>
          <w:spacing w:val="5"/>
          <w:w w:val="125"/>
          <w:sz w:val="9"/>
        </w:rPr>
        <w:t> </w:t>
      </w:r>
      <w:r>
        <w:rPr>
          <w:rFonts w:ascii="Times New Roman"/>
          <w:spacing w:val="-4"/>
          <w:w w:val="125"/>
          <w:sz w:val="9"/>
        </w:rPr>
        <w:t>Energia</w:t>
      </w:r>
      <w:r>
        <w:rPr>
          <w:rFonts w:ascii="Times New Roman"/>
          <w:spacing w:val="-1"/>
          <w:w w:val="125"/>
          <w:sz w:val="9"/>
        </w:rPr>
        <w:t> </w:t>
      </w:r>
      <w:r>
        <w:rPr>
          <w:rFonts w:ascii="Times New Roman"/>
          <w:w w:val="125"/>
          <w:sz w:val="9"/>
        </w:rPr>
        <w:t>srl</w:t>
        <w:tab/>
        <w:tab/>
        <w:t>-</w:t>
        <w:tab/>
        <w:t>Finanziari</w:t>
        <w:tab/>
        <w:t>Commissioni</w:t>
      </w:r>
      <w:r>
        <w:rPr>
          <w:rFonts w:ascii="Times New Roman"/>
          <w:spacing w:val="-12"/>
          <w:w w:val="125"/>
          <w:sz w:val="9"/>
        </w:rPr>
        <w:t> </w:t>
      </w:r>
      <w:r>
        <w:rPr>
          <w:rFonts w:ascii="Times New Roman"/>
          <w:w w:val="125"/>
          <w:sz w:val="9"/>
        </w:rPr>
        <w:t>su</w:t>
      </w:r>
      <w:r>
        <w:rPr>
          <w:rFonts w:ascii="Times New Roman"/>
          <w:spacing w:val="-9"/>
          <w:w w:val="125"/>
          <w:sz w:val="9"/>
        </w:rPr>
        <w:t> </w:t>
      </w:r>
      <w:r>
        <w:rPr>
          <w:rFonts w:ascii="Times New Roman"/>
          <w:w w:val="125"/>
          <w:sz w:val="9"/>
        </w:rPr>
        <w:t>fideiussioni</w:t>
      </w:r>
      <w:r>
        <w:rPr>
          <w:rFonts w:ascii="Times New Roman"/>
          <w:spacing w:val="-1"/>
          <w:w w:val="125"/>
          <w:sz w:val="9"/>
        </w:rPr>
        <w:t> </w:t>
      </w:r>
      <w:r>
        <w:rPr>
          <w:rFonts w:ascii="Times New Roman"/>
          <w:w w:val="125"/>
          <w:sz w:val="9"/>
        </w:rPr>
        <w:t>Chemtex International</w:t>
      </w:r>
      <w:r>
        <w:rPr>
          <w:rFonts w:ascii="Times New Roman"/>
          <w:spacing w:val="-15"/>
          <w:w w:val="125"/>
          <w:sz w:val="9"/>
        </w:rPr>
        <w:t> </w:t>
      </w:r>
      <w:r>
        <w:rPr>
          <w:rFonts w:ascii="Times New Roman"/>
          <w:w w:val="125"/>
          <w:sz w:val="9"/>
        </w:rPr>
        <w:t>Inc</w:t>
      </w:r>
      <w:r>
        <w:rPr>
          <w:rFonts w:ascii="Times New Roman"/>
          <w:spacing w:val="-5"/>
          <w:w w:val="125"/>
          <w:sz w:val="9"/>
        </w:rPr>
        <w:t> </w:t>
      </w:r>
      <w:r>
        <w:rPr>
          <w:rFonts w:ascii="Times New Roman"/>
          <w:w w:val="125"/>
          <w:sz w:val="9"/>
        </w:rPr>
        <w:t>Usa</w:t>
        <w:tab/>
        <w:t>783.655    </w:t>
      </w:r>
      <w:r>
        <w:rPr>
          <w:rFonts w:ascii="Times New Roman"/>
          <w:spacing w:val="-3"/>
          <w:w w:val="125"/>
          <w:sz w:val="9"/>
        </w:rPr>
        <w:t>Commerciali       </w:t>
      </w:r>
      <w:r>
        <w:rPr>
          <w:rFonts w:ascii="Times New Roman"/>
          <w:w w:val="125"/>
          <w:sz w:val="9"/>
        </w:rPr>
        <w:t>Servizi</w:t>
      </w:r>
      <w:r>
        <w:rPr>
          <w:rFonts w:ascii="Times New Roman"/>
          <w:spacing w:val="9"/>
          <w:w w:val="125"/>
          <w:sz w:val="9"/>
        </w:rPr>
        <w:t> </w:t>
      </w:r>
      <w:r>
        <w:rPr>
          <w:rFonts w:ascii="Times New Roman"/>
          <w:w w:val="125"/>
          <w:sz w:val="9"/>
        </w:rPr>
        <w:t>ricevuti</w:t>
      </w:r>
    </w:p>
    <w:p>
      <w:pPr>
        <w:tabs>
          <w:tab w:pos="2956" w:val="left" w:leader="none"/>
          <w:tab w:pos="3060" w:val="left" w:leader="none"/>
          <w:tab w:pos="3334" w:val="left" w:leader="none"/>
          <w:tab w:pos="4088" w:val="left" w:leader="none"/>
        </w:tabs>
        <w:spacing w:line="297" w:lineRule="auto" w:before="0"/>
        <w:ind w:left="1070" w:right="4065" w:firstLine="0"/>
        <w:jc w:val="left"/>
        <w:rPr>
          <w:rFonts w:ascii="Times New Roman"/>
          <w:sz w:val="9"/>
        </w:rPr>
      </w:pPr>
      <w:r>
        <w:rPr>
          <w:rFonts w:ascii="Times New Roman"/>
          <w:w w:val="125"/>
          <w:sz w:val="9"/>
        </w:rPr>
        <w:t>Chemtex International</w:t>
      </w:r>
      <w:r>
        <w:rPr>
          <w:rFonts w:ascii="Times New Roman"/>
          <w:spacing w:val="-15"/>
          <w:w w:val="125"/>
          <w:sz w:val="9"/>
        </w:rPr>
        <w:t> </w:t>
      </w:r>
      <w:r>
        <w:rPr>
          <w:rFonts w:ascii="Times New Roman"/>
          <w:w w:val="125"/>
          <w:sz w:val="9"/>
        </w:rPr>
        <w:t>Inc</w:t>
      </w:r>
      <w:r>
        <w:rPr>
          <w:rFonts w:ascii="Times New Roman"/>
          <w:spacing w:val="-5"/>
          <w:w w:val="125"/>
          <w:sz w:val="9"/>
        </w:rPr>
        <w:t> </w:t>
      </w:r>
      <w:r>
        <w:rPr>
          <w:rFonts w:ascii="Times New Roman"/>
          <w:w w:val="125"/>
          <w:sz w:val="9"/>
        </w:rPr>
        <w:t>Usa</w:t>
        <w:tab/>
        <w:tab/>
        <w:t>-</w:t>
        <w:tab/>
        <w:t>Finanziari</w:t>
        <w:tab/>
        <w:t>Interessi</w:t>
      </w:r>
      <w:r>
        <w:rPr>
          <w:rFonts w:ascii="Times New Roman"/>
          <w:spacing w:val="-5"/>
          <w:w w:val="125"/>
          <w:sz w:val="9"/>
        </w:rPr>
        <w:t> </w:t>
      </w:r>
      <w:r>
        <w:rPr>
          <w:rFonts w:ascii="Times New Roman"/>
          <w:w w:val="125"/>
          <w:sz w:val="9"/>
        </w:rPr>
        <w:t>su</w:t>
      </w:r>
      <w:r>
        <w:rPr>
          <w:rFonts w:ascii="Times New Roman"/>
          <w:spacing w:val="-1"/>
          <w:w w:val="125"/>
          <w:sz w:val="9"/>
        </w:rPr>
        <w:t> </w:t>
      </w:r>
      <w:r>
        <w:rPr>
          <w:rFonts w:ascii="Times New Roman"/>
          <w:w w:val="125"/>
          <w:sz w:val="9"/>
        </w:rPr>
        <w:t>finanziamenti</w:t>
      </w:r>
      <w:r>
        <w:rPr>
          <w:rFonts w:ascii="Times New Roman"/>
          <w:w w:val="125"/>
          <w:sz w:val="9"/>
        </w:rPr>
        <w:t> </w:t>
      </w:r>
      <w:r>
        <w:rPr>
          <w:rFonts w:ascii="Times New Roman"/>
          <w:spacing w:val="3"/>
          <w:w w:val="125"/>
          <w:sz w:val="9"/>
        </w:rPr>
        <w:t>M&amp;G</w:t>
      </w:r>
      <w:r>
        <w:rPr>
          <w:rFonts w:ascii="Times New Roman"/>
          <w:spacing w:val="5"/>
          <w:w w:val="125"/>
          <w:sz w:val="9"/>
        </w:rPr>
        <w:t> </w:t>
      </w:r>
      <w:r>
        <w:rPr>
          <w:rFonts w:ascii="Times New Roman"/>
          <w:w w:val="125"/>
          <w:sz w:val="9"/>
        </w:rPr>
        <w:t>Polymers</w:t>
      </w:r>
      <w:r>
        <w:rPr>
          <w:rFonts w:ascii="Times New Roman"/>
          <w:spacing w:val="6"/>
          <w:w w:val="125"/>
          <w:sz w:val="9"/>
        </w:rPr>
        <w:t> </w:t>
      </w:r>
      <w:r>
        <w:rPr>
          <w:rFonts w:ascii="Times New Roman"/>
          <w:w w:val="125"/>
          <w:sz w:val="9"/>
        </w:rPr>
        <w:t>Usa</w:t>
        <w:tab/>
        <w:t>1.587    </w:t>
      </w:r>
      <w:r>
        <w:rPr>
          <w:rFonts w:ascii="Times New Roman"/>
          <w:spacing w:val="-3"/>
          <w:w w:val="125"/>
          <w:sz w:val="9"/>
        </w:rPr>
        <w:t>Commerciali       </w:t>
      </w:r>
      <w:r>
        <w:rPr>
          <w:rFonts w:ascii="Times New Roman"/>
          <w:w w:val="125"/>
          <w:sz w:val="9"/>
        </w:rPr>
        <w:t>Servizi</w:t>
      </w:r>
      <w:r>
        <w:rPr>
          <w:rFonts w:ascii="Times New Roman"/>
          <w:spacing w:val="11"/>
          <w:w w:val="125"/>
          <w:sz w:val="9"/>
        </w:rPr>
        <w:t> </w:t>
      </w:r>
      <w:r>
        <w:rPr>
          <w:rFonts w:ascii="Times New Roman"/>
          <w:w w:val="125"/>
          <w:sz w:val="9"/>
        </w:rPr>
        <w:t>ricevuti</w:t>
      </w:r>
    </w:p>
    <w:p>
      <w:pPr>
        <w:tabs>
          <w:tab w:pos="2758" w:val="left" w:leader="none"/>
          <w:tab w:pos="3060" w:val="left" w:leader="none"/>
          <w:tab w:pos="3334" w:val="left" w:leader="none"/>
          <w:tab w:pos="4088" w:val="left" w:leader="none"/>
        </w:tabs>
        <w:spacing w:line="295" w:lineRule="auto" w:before="0"/>
        <w:ind w:left="1070" w:right="4546" w:firstLine="0"/>
        <w:jc w:val="left"/>
        <w:rPr>
          <w:rFonts w:ascii="Times New Roman"/>
          <w:sz w:val="9"/>
        </w:rPr>
      </w:pPr>
      <w:r>
        <w:rPr>
          <w:rFonts w:ascii="Times New Roman"/>
          <w:w w:val="125"/>
          <w:sz w:val="9"/>
        </w:rPr>
        <w:t>Chemtex</w:t>
      </w:r>
      <w:r>
        <w:rPr>
          <w:rFonts w:ascii="Times New Roman"/>
          <w:spacing w:val="-11"/>
          <w:w w:val="125"/>
          <w:sz w:val="9"/>
        </w:rPr>
        <w:t> </w:t>
      </w:r>
      <w:r>
        <w:rPr>
          <w:rFonts w:ascii="Times New Roman"/>
          <w:w w:val="125"/>
          <w:sz w:val="9"/>
        </w:rPr>
        <w:t>India</w:t>
      </w:r>
      <w:r>
        <w:rPr>
          <w:rFonts w:ascii="Times New Roman"/>
          <w:spacing w:val="-5"/>
          <w:w w:val="125"/>
          <w:sz w:val="9"/>
        </w:rPr>
        <w:t> </w:t>
      </w:r>
      <w:r>
        <w:rPr>
          <w:rFonts w:ascii="Times New Roman"/>
          <w:spacing w:val="-3"/>
          <w:w w:val="125"/>
          <w:sz w:val="9"/>
        </w:rPr>
        <w:t>Bangalore</w:t>
        <w:tab/>
      </w:r>
      <w:r>
        <w:rPr>
          <w:rFonts w:ascii="Times New Roman"/>
          <w:w w:val="125"/>
          <w:sz w:val="9"/>
        </w:rPr>
        <w:t>3.353.146    </w:t>
      </w:r>
      <w:r>
        <w:rPr>
          <w:rFonts w:ascii="Times New Roman"/>
          <w:spacing w:val="-3"/>
          <w:w w:val="125"/>
          <w:sz w:val="9"/>
        </w:rPr>
        <w:t>Commerciali      </w:t>
      </w:r>
      <w:r>
        <w:rPr>
          <w:rFonts w:ascii="Times New Roman"/>
          <w:spacing w:val="10"/>
          <w:w w:val="125"/>
          <w:sz w:val="9"/>
        </w:rPr>
        <w:t> </w:t>
      </w:r>
      <w:r>
        <w:rPr>
          <w:rFonts w:ascii="Times New Roman"/>
          <w:w w:val="125"/>
          <w:sz w:val="9"/>
        </w:rPr>
        <w:t>Servizi</w:t>
      </w:r>
      <w:r>
        <w:rPr>
          <w:rFonts w:ascii="Times New Roman"/>
          <w:spacing w:val="-5"/>
          <w:w w:val="125"/>
          <w:sz w:val="9"/>
        </w:rPr>
        <w:t> </w:t>
      </w:r>
      <w:r>
        <w:rPr>
          <w:rFonts w:ascii="Times New Roman"/>
          <w:w w:val="125"/>
          <w:sz w:val="9"/>
        </w:rPr>
        <w:t>ricevuti</w:t>
      </w:r>
      <w:r>
        <w:rPr>
          <w:rFonts w:ascii="Times New Roman"/>
          <w:w w:val="125"/>
          <w:sz w:val="9"/>
        </w:rPr>
        <w:t> </w:t>
      </w:r>
      <w:r>
        <w:rPr>
          <w:rFonts w:ascii="Times New Roman"/>
          <w:w w:val="125"/>
          <w:sz w:val="9"/>
        </w:rPr>
        <w:t>Chemtex</w:t>
      </w:r>
      <w:r>
        <w:rPr>
          <w:rFonts w:ascii="Times New Roman"/>
          <w:spacing w:val="-13"/>
          <w:w w:val="125"/>
          <w:sz w:val="9"/>
        </w:rPr>
        <w:t> </w:t>
      </w:r>
      <w:r>
        <w:rPr>
          <w:rFonts w:ascii="Times New Roman"/>
          <w:w w:val="125"/>
          <w:sz w:val="9"/>
        </w:rPr>
        <w:t>Global</w:t>
      </w:r>
      <w:r>
        <w:rPr>
          <w:rFonts w:ascii="Times New Roman"/>
          <w:spacing w:val="-9"/>
          <w:w w:val="125"/>
          <w:sz w:val="9"/>
        </w:rPr>
        <w:t> </w:t>
      </w:r>
      <w:r>
        <w:rPr>
          <w:rFonts w:ascii="Times New Roman"/>
          <w:w w:val="125"/>
          <w:sz w:val="9"/>
        </w:rPr>
        <w:t>S.A.R.L.</w:t>
        <w:tab/>
        <w:tab/>
        <w:t>-</w:t>
        <w:tab/>
        <w:t>Finanziari</w:t>
        <w:tab/>
        <w:t>Interessi</w:t>
      </w:r>
    </w:p>
    <w:p>
      <w:pPr>
        <w:tabs>
          <w:tab w:pos="2758" w:val="left" w:leader="none"/>
          <w:tab w:pos="3060" w:val="left" w:leader="none"/>
          <w:tab w:pos="3334" w:val="left" w:leader="none"/>
        </w:tabs>
        <w:spacing w:line="295" w:lineRule="auto" w:before="1"/>
        <w:ind w:left="1070" w:right="4546" w:firstLine="0"/>
        <w:jc w:val="left"/>
        <w:rPr>
          <w:rFonts w:ascii="Times New Roman"/>
          <w:sz w:val="9"/>
        </w:rPr>
      </w:pPr>
      <w:r>
        <w:rPr>
          <w:rFonts w:ascii="Times New Roman"/>
          <w:w w:val="125"/>
          <w:sz w:val="9"/>
        </w:rPr>
        <w:t>Chemtex</w:t>
      </w:r>
      <w:r>
        <w:rPr>
          <w:rFonts w:ascii="Times New Roman"/>
          <w:spacing w:val="-10"/>
          <w:w w:val="125"/>
          <w:sz w:val="9"/>
        </w:rPr>
        <w:t> </w:t>
      </w:r>
      <w:r>
        <w:rPr>
          <w:rFonts w:ascii="Times New Roman"/>
          <w:w w:val="125"/>
          <w:sz w:val="9"/>
        </w:rPr>
        <w:t>India</w:t>
      </w:r>
      <w:r>
        <w:rPr>
          <w:rFonts w:ascii="Times New Roman"/>
          <w:spacing w:val="-4"/>
          <w:w w:val="125"/>
          <w:sz w:val="9"/>
        </w:rPr>
        <w:t> </w:t>
      </w:r>
      <w:r>
        <w:rPr>
          <w:rFonts w:ascii="Times New Roman"/>
          <w:w w:val="125"/>
          <w:sz w:val="9"/>
        </w:rPr>
        <w:t>Mumbai</w:t>
        <w:tab/>
        <w:tab/>
        <w:t>-</w:t>
        <w:tab/>
      </w:r>
      <w:r>
        <w:rPr>
          <w:rFonts w:ascii="Times New Roman"/>
          <w:spacing w:val="-3"/>
          <w:w w:val="125"/>
          <w:sz w:val="9"/>
        </w:rPr>
        <w:t>Commerciali      </w:t>
      </w:r>
      <w:r>
        <w:rPr>
          <w:rFonts w:ascii="Times New Roman"/>
          <w:spacing w:val="3"/>
          <w:w w:val="125"/>
          <w:sz w:val="9"/>
        </w:rPr>
        <w:t> </w:t>
      </w:r>
      <w:r>
        <w:rPr>
          <w:rFonts w:ascii="Times New Roman"/>
          <w:w w:val="125"/>
          <w:sz w:val="9"/>
        </w:rPr>
        <w:t>Servizi</w:t>
      </w:r>
      <w:r>
        <w:rPr>
          <w:rFonts w:ascii="Times New Roman"/>
          <w:spacing w:val="-4"/>
          <w:w w:val="125"/>
          <w:sz w:val="9"/>
        </w:rPr>
        <w:t> </w:t>
      </w:r>
      <w:r>
        <w:rPr>
          <w:rFonts w:ascii="Times New Roman"/>
          <w:w w:val="125"/>
          <w:sz w:val="9"/>
        </w:rPr>
        <w:t>ricevuti</w:t>
      </w:r>
      <w:r>
        <w:rPr>
          <w:rFonts w:ascii="Times New Roman"/>
          <w:w w:val="125"/>
          <w:sz w:val="9"/>
        </w:rPr>
        <w:t> </w:t>
      </w:r>
      <w:r>
        <w:rPr>
          <w:rFonts w:ascii="Times New Roman"/>
          <w:spacing w:val="3"/>
          <w:w w:val="125"/>
          <w:sz w:val="9"/>
        </w:rPr>
        <w:t>M&amp;G</w:t>
      </w:r>
      <w:r>
        <w:rPr>
          <w:rFonts w:ascii="Times New Roman"/>
          <w:w w:val="125"/>
          <w:sz w:val="9"/>
        </w:rPr>
        <w:t> Finanziaria</w:t>
        <w:tab/>
        <w:t>7.128.430    </w:t>
      </w:r>
      <w:r>
        <w:rPr>
          <w:rFonts w:ascii="Times New Roman"/>
          <w:spacing w:val="-3"/>
          <w:w w:val="125"/>
          <w:sz w:val="9"/>
        </w:rPr>
        <w:t>Commerciali       </w:t>
      </w:r>
      <w:r>
        <w:rPr>
          <w:rFonts w:ascii="Times New Roman"/>
          <w:w w:val="125"/>
          <w:sz w:val="9"/>
        </w:rPr>
        <w:t>Servizi</w:t>
      </w:r>
      <w:r>
        <w:rPr>
          <w:rFonts w:ascii="Times New Roman"/>
          <w:spacing w:val="8"/>
          <w:w w:val="125"/>
          <w:sz w:val="9"/>
        </w:rPr>
        <w:t> </w:t>
      </w:r>
      <w:r>
        <w:rPr>
          <w:rFonts w:ascii="Times New Roman"/>
          <w:w w:val="125"/>
          <w:sz w:val="9"/>
        </w:rPr>
        <w:t>ricevuti</w:t>
      </w:r>
    </w:p>
    <w:p>
      <w:pPr>
        <w:tabs>
          <w:tab w:pos="3060" w:val="left" w:leader="none"/>
        </w:tabs>
        <w:spacing w:before="1"/>
        <w:ind w:left="1070" w:right="0" w:firstLine="0"/>
        <w:jc w:val="both"/>
        <w:rPr>
          <w:rFonts w:ascii="Times New Roman"/>
          <w:sz w:val="9"/>
        </w:rPr>
      </w:pPr>
      <w:r>
        <w:rPr>
          <w:rFonts w:ascii="Times New Roman"/>
          <w:spacing w:val="3"/>
          <w:w w:val="125"/>
          <w:sz w:val="9"/>
        </w:rPr>
        <w:t>M&amp;G</w:t>
      </w:r>
      <w:r>
        <w:rPr>
          <w:rFonts w:ascii="Times New Roman"/>
          <w:spacing w:val="-1"/>
          <w:w w:val="125"/>
          <w:sz w:val="9"/>
        </w:rPr>
        <w:t> </w:t>
      </w:r>
      <w:r>
        <w:rPr>
          <w:rFonts w:ascii="Times New Roman"/>
          <w:w w:val="125"/>
          <w:sz w:val="9"/>
        </w:rPr>
        <w:t>Polimeri</w:t>
      </w:r>
      <w:r>
        <w:rPr>
          <w:rFonts w:ascii="Times New Roman"/>
          <w:spacing w:val="-7"/>
          <w:w w:val="125"/>
          <w:sz w:val="9"/>
        </w:rPr>
        <w:t> </w:t>
      </w:r>
      <w:r>
        <w:rPr>
          <w:rFonts w:ascii="Times New Roman"/>
          <w:w w:val="125"/>
          <w:sz w:val="9"/>
        </w:rPr>
        <w:t>Italia</w:t>
        <w:tab/>
        <w:t>-        </w:t>
      </w:r>
      <w:r>
        <w:rPr>
          <w:rFonts w:ascii="Times New Roman"/>
          <w:spacing w:val="-3"/>
          <w:w w:val="125"/>
          <w:sz w:val="9"/>
        </w:rPr>
        <w:t>Commerciali       </w:t>
      </w:r>
      <w:r>
        <w:rPr>
          <w:rFonts w:ascii="Times New Roman"/>
          <w:w w:val="125"/>
          <w:sz w:val="9"/>
        </w:rPr>
        <w:t>Servizi</w:t>
      </w:r>
      <w:r>
        <w:rPr>
          <w:rFonts w:ascii="Times New Roman"/>
          <w:spacing w:val="12"/>
          <w:w w:val="125"/>
          <w:sz w:val="9"/>
        </w:rPr>
        <w:t> </w:t>
      </w:r>
      <w:r>
        <w:rPr>
          <w:rFonts w:ascii="Times New Roman"/>
          <w:w w:val="125"/>
          <w:sz w:val="9"/>
        </w:rPr>
        <w:t>ricevuti</w:t>
      </w:r>
    </w:p>
    <w:p>
      <w:pPr>
        <w:tabs>
          <w:tab w:pos="2843" w:val="left" w:leader="none"/>
        </w:tabs>
        <w:spacing w:before="23"/>
        <w:ind w:left="1070" w:right="0" w:firstLine="0"/>
        <w:jc w:val="both"/>
        <w:rPr>
          <w:rFonts w:ascii="Times New Roman"/>
          <w:sz w:val="9"/>
        </w:rPr>
      </w:pPr>
      <w:r>
        <w:rPr>
          <w:rFonts w:ascii="Times New Roman"/>
          <w:spacing w:val="3"/>
          <w:w w:val="125"/>
          <w:sz w:val="9"/>
        </w:rPr>
        <w:t>M&amp;G</w:t>
      </w:r>
      <w:r>
        <w:rPr>
          <w:rFonts w:ascii="Times New Roman"/>
          <w:w w:val="125"/>
          <w:sz w:val="9"/>
        </w:rPr>
        <w:t> Finanziaria</w:t>
        <w:tab/>
        <w:t>172.341    </w:t>
      </w:r>
      <w:r>
        <w:rPr>
          <w:rFonts w:ascii="Times New Roman"/>
          <w:spacing w:val="-3"/>
          <w:w w:val="125"/>
          <w:sz w:val="9"/>
        </w:rPr>
        <w:t>Commerciali       </w:t>
      </w:r>
      <w:r>
        <w:rPr>
          <w:rFonts w:ascii="Times New Roman"/>
          <w:w w:val="125"/>
          <w:sz w:val="9"/>
        </w:rPr>
        <w:t>Affitto uffici e relativi</w:t>
      </w:r>
      <w:r>
        <w:rPr>
          <w:rFonts w:ascii="Times New Roman"/>
          <w:spacing w:val="11"/>
          <w:w w:val="125"/>
          <w:sz w:val="9"/>
        </w:rPr>
        <w:t> </w:t>
      </w:r>
      <w:r>
        <w:rPr>
          <w:rFonts w:ascii="Times New Roman"/>
          <w:w w:val="125"/>
          <w:sz w:val="9"/>
        </w:rPr>
        <w:t>servizi</w:t>
      </w:r>
    </w:p>
    <w:p>
      <w:pPr>
        <w:tabs>
          <w:tab w:pos="2843" w:val="left" w:leader="none"/>
          <w:tab w:pos="2899" w:val="left" w:leader="none"/>
          <w:tab w:pos="4087" w:val="left" w:leader="none"/>
        </w:tabs>
        <w:spacing w:line="295" w:lineRule="auto" w:before="24"/>
        <w:ind w:left="1070" w:right="2879" w:firstLine="0"/>
        <w:jc w:val="left"/>
        <w:rPr>
          <w:rFonts w:ascii="Times New Roman"/>
          <w:sz w:val="9"/>
        </w:rPr>
      </w:pPr>
      <w:r>
        <w:rPr>
          <w:rFonts w:ascii="Times New Roman"/>
          <w:spacing w:val="3"/>
          <w:w w:val="125"/>
          <w:sz w:val="9"/>
        </w:rPr>
        <w:t>M&amp;G</w:t>
      </w:r>
      <w:r>
        <w:rPr>
          <w:rFonts w:ascii="Times New Roman"/>
          <w:w w:val="125"/>
          <w:sz w:val="9"/>
        </w:rPr>
        <w:t> Finanziaria</w:t>
        <w:tab/>
        <w:t>380.681   </w:t>
      </w:r>
      <w:r>
        <w:rPr>
          <w:rFonts w:ascii="Times New Roman"/>
          <w:spacing w:val="4"/>
          <w:w w:val="125"/>
          <w:sz w:val="9"/>
        </w:rPr>
        <w:t> </w:t>
      </w:r>
      <w:r>
        <w:rPr>
          <w:rFonts w:ascii="Times New Roman"/>
          <w:w w:val="125"/>
          <w:sz w:val="9"/>
        </w:rPr>
        <w:t>Finanziari</w:t>
        <w:tab/>
        <w:t>Commissioni</w:t>
      </w:r>
      <w:r>
        <w:rPr>
          <w:rFonts w:ascii="Times New Roman"/>
          <w:spacing w:val="-7"/>
          <w:w w:val="125"/>
          <w:sz w:val="9"/>
        </w:rPr>
        <w:t> </w:t>
      </w:r>
      <w:r>
        <w:rPr>
          <w:rFonts w:ascii="Times New Roman"/>
          <w:w w:val="125"/>
          <w:sz w:val="9"/>
        </w:rPr>
        <w:t>su</w:t>
      </w:r>
      <w:r>
        <w:rPr>
          <w:rFonts w:ascii="Times New Roman"/>
          <w:spacing w:val="-3"/>
          <w:w w:val="125"/>
          <w:sz w:val="9"/>
        </w:rPr>
        <w:t> </w:t>
      </w:r>
      <w:r>
        <w:rPr>
          <w:rFonts w:ascii="Times New Roman"/>
          <w:w w:val="125"/>
          <w:sz w:val="9"/>
        </w:rPr>
        <w:t>fideius.,</w:t>
      </w:r>
      <w:r>
        <w:rPr>
          <w:rFonts w:ascii="Times New Roman"/>
          <w:spacing w:val="-4"/>
          <w:w w:val="125"/>
          <w:sz w:val="9"/>
        </w:rPr>
        <w:t> </w:t>
      </w:r>
      <w:r>
        <w:rPr>
          <w:rFonts w:ascii="Times New Roman"/>
          <w:w w:val="125"/>
          <w:sz w:val="9"/>
        </w:rPr>
        <w:t>interessi</w:t>
      </w:r>
      <w:r>
        <w:rPr>
          <w:rFonts w:ascii="Times New Roman"/>
          <w:spacing w:val="-7"/>
          <w:w w:val="125"/>
          <w:sz w:val="9"/>
        </w:rPr>
        <w:t> </w:t>
      </w:r>
      <w:r>
        <w:rPr>
          <w:rFonts w:ascii="Times New Roman"/>
          <w:w w:val="125"/>
          <w:sz w:val="9"/>
        </w:rPr>
        <w:t>cash</w:t>
      </w:r>
      <w:r>
        <w:rPr>
          <w:rFonts w:ascii="Times New Roman"/>
          <w:spacing w:val="-3"/>
          <w:w w:val="125"/>
          <w:sz w:val="9"/>
        </w:rPr>
        <w:t> </w:t>
      </w:r>
      <w:r>
        <w:rPr>
          <w:rFonts w:ascii="Times New Roman"/>
          <w:w w:val="125"/>
          <w:sz w:val="9"/>
        </w:rPr>
        <w:t>pooling</w:t>
      </w:r>
      <w:r>
        <w:rPr>
          <w:rFonts w:ascii="Times New Roman"/>
          <w:spacing w:val="-12"/>
          <w:w w:val="125"/>
          <w:sz w:val="9"/>
        </w:rPr>
        <w:t> </w:t>
      </w:r>
      <w:r>
        <w:rPr>
          <w:rFonts w:ascii="Times New Roman"/>
          <w:w w:val="125"/>
          <w:sz w:val="9"/>
        </w:rPr>
        <w:t>e</w:t>
      </w:r>
      <w:r>
        <w:rPr>
          <w:rFonts w:ascii="Times New Roman"/>
          <w:spacing w:val="-8"/>
          <w:w w:val="125"/>
          <w:sz w:val="9"/>
        </w:rPr>
        <w:t> </w:t>
      </w:r>
      <w:r>
        <w:rPr>
          <w:rFonts w:ascii="Times New Roman"/>
          <w:w w:val="125"/>
          <w:sz w:val="9"/>
        </w:rPr>
        <w:t>fee</w:t>
      </w:r>
      <w:r>
        <w:rPr>
          <w:rFonts w:ascii="Times New Roman"/>
          <w:w w:val="125"/>
          <w:sz w:val="9"/>
        </w:rPr>
        <w:t> </w:t>
      </w:r>
      <w:r>
        <w:rPr>
          <w:rFonts w:ascii="Times New Roman"/>
          <w:w w:val="125"/>
          <w:sz w:val="9"/>
        </w:rPr>
        <w:t>Chemtex</w:t>
      </w:r>
      <w:r>
        <w:rPr>
          <w:rFonts w:ascii="Times New Roman"/>
          <w:spacing w:val="-10"/>
          <w:w w:val="125"/>
          <w:sz w:val="9"/>
        </w:rPr>
        <w:t> </w:t>
      </w:r>
      <w:r>
        <w:rPr>
          <w:rFonts w:ascii="Times New Roman"/>
          <w:spacing w:val="-4"/>
          <w:w w:val="125"/>
          <w:sz w:val="9"/>
        </w:rPr>
        <w:t>Shanghai</w:t>
      </w:r>
      <w:r>
        <w:rPr>
          <w:rFonts w:ascii="Times New Roman"/>
          <w:spacing w:val="-3"/>
          <w:w w:val="125"/>
          <w:sz w:val="9"/>
        </w:rPr>
        <w:t> </w:t>
      </w:r>
      <w:r>
        <w:rPr>
          <w:rFonts w:ascii="Times New Roman"/>
          <w:w w:val="125"/>
          <w:sz w:val="9"/>
        </w:rPr>
        <w:t>Cina</w:t>
        <w:tab/>
        <w:tab/>
        <w:t>25.620    </w:t>
      </w:r>
      <w:r>
        <w:rPr>
          <w:rFonts w:ascii="Times New Roman"/>
          <w:spacing w:val="-3"/>
          <w:w w:val="125"/>
          <w:sz w:val="9"/>
        </w:rPr>
        <w:t>Commerciali       </w:t>
      </w:r>
      <w:r>
        <w:rPr>
          <w:rFonts w:ascii="Times New Roman"/>
          <w:w w:val="125"/>
          <w:sz w:val="9"/>
        </w:rPr>
        <w:t>Servizi</w:t>
      </w:r>
      <w:r>
        <w:rPr>
          <w:rFonts w:ascii="Times New Roman"/>
          <w:spacing w:val="10"/>
          <w:w w:val="125"/>
          <w:sz w:val="9"/>
        </w:rPr>
        <w:t> </w:t>
      </w:r>
      <w:r>
        <w:rPr>
          <w:rFonts w:ascii="Times New Roman"/>
          <w:w w:val="125"/>
          <w:sz w:val="9"/>
        </w:rPr>
        <w:t>ricevuti</w:t>
      </w:r>
    </w:p>
    <w:p>
      <w:pPr>
        <w:pStyle w:val="BodyText"/>
        <w:spacing w:line="20" w:lineRule="exact"/>
        <w:ind w:left="406"/>
        <w:rPr>
          <w:rFonts w:ascii="Times New Roman"/>
          <w:sz w:val="2"/>
        </w:rPr>
      </w:pPr>
      <w:r>
        <w:rPr>
          <w:rFonts w:ascii="Times New Roman"/>
          <w:sz w:val="2"/>
        </w:rPr>
        <w:pict>
          <v:group style="width:309.8pt;height:.5pt;mso-position-horizontal-relative:char;mso-position-vertical-relative:line" coordorigin="0,0" coordsize="6196,10">
            <v:line style="position:absolute" from="3,1" to="6191,1" stroked="true" strokeweight=".06pt" strokecolor="#000000">
              <v:stroke dashstyle="solid"/>
            </v:line>
            <v:line style="position:absolute" from="4,6" to="6191,6" stroked="true" strokeweight=".35999pt" strokecolor="#000000">
              <v:stroke dashstyle="solid"/>
            </v:line>
          </v:group>
        </w:pict>
      </w:r>
      <w:r>
        <w:rPr>
          <w:rFonts w:ascii="Times New Roman"/>
          <w:sz w:val="2"/>
        </w:rPr>
      </w:r>
    </w:p>
    <w:p>
      <w:pPr>
        <w:spacing w:after="0" w:line="20" w:lineRule="exact"/>
        <w:rPr>
          <w:rFonts w:ascii="Times New Roman"/>
          <w:sz w:val="2"/>
        </w:rPr>
        <w:sectPr>
          <w:pgSz w:w="12240" w:h="15840"/>
          <w:pgMar w:header="0" w:footer="790" w:top="1500" w:bottom="980" w:left="1720" w:right="1200"/>
        </w:sectPr>
      </w:pPr>
    </w:p>
    <w:p>
      <w:pPr>
        <w:pStyle w:val="BodyText"/>
        <w:spacing w:before="9"/>
        <w:rPr>
          <w:rFonts w:ascii="Times New Roman"/>
          <w:sz w:val="9"/>
        </w:rPr>
      </w:pPr>
      <w:r>
        <w:rPr/>
        <w:pict>
          <v:line style="position:absolute;mso-position-horizontal-relative:page;mso-position-vertical-relative:page;z-index:-87376" from="441.690002pt,80.639999pt" to="441.690002pt,88.799999pt" stroked="true" strokeweight=".53998pt" strokecolor="#ffffff">
            <v:stroke dashstyle="solid"/>
            <w10:wrap type="none"/>
          </v:line>
        </w:pict>
      </w:r>
    </w:p>
    <w:tbl>
      <w:tblPr>
        <w:tblW w:w="0" w:type="auto"/>
        <w:jc w:val="left"/>
        <w:tblInd w:w="410"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684"/>
        <w:gridCol w:w="1662"/>
        <w:gridCol w:w="735"/>
        <w:gridCol w:w="801"/>
        <w:gridCol w:w="2827"/>
      </w:tblGrid>
      <w:tr>
        <w:trPr>
          <w:trHeight w:val="163" w:hRule="exact"/>
        </w:trPr>
        <w:tc>
          <w:tcPr>
            <w:tcW w:w="684" w:type="dxa"/>
            <w:shd w:val="clear" w:color="auto" w:fill="A03033"/>
          </w:tcPr>
          <w:p>
            <w:pPr>
              <w:pStyle w:val="TableParagraph"/>
              <w:spacing w:line="138" w:lineRule="exact" w:before="0"/>
              <w:ind w:left="43" w:right="42"/>
              <w:jc w:val="center"/>
              <w:rPr>
                <w:b/>
                <w:sz w:val="12"/>
              </w:rPr>
            </w:pPr>
            <w:r>
              <w:rPr>
                <w:b/>
                <w:color w:val="FFFFFF"/>
                <w:sz w:val="12"/>
              </w:rPr>
              <w:t>Data</w:t>
            </w:r>
          </w:p>
        </w:tc>
        <w:tc>
          <w:tcPr>
            <w:tcW w:w="1662" w:type="dxa"/>
            <w:shd w:val="clear" w:color="auto" w:fill="A03033"/>
          </w:tcPr>
          <w:p>
            <w:pPr>
              <w:pStyle w:val="TableParagraph"/>
              <w:spacing w:line="138" w:lineRule="exact" w:before="0"/>
              <w:ind w:left="579" w:right="675"/>
              <w:jc w:val="center"/>
              <w:rPr>
                <w:b/>
                <w:sz w:val="12"/>
              </w:rPr>
            </w:pPr>
            <w:r>
              <w:rPr>
                <w:b/>
                <w:color w:val="FFFFFF"/>
                <w:sz w:val="12"/>
              </w:rPr>
              <w:t>Società</w:t>
            </w:r>
          </w:p>
        </w:tc>
        <w:tc>
          <w:tcPr>
            <w:tcW w:w="735" w:type="dxa"/>
            <w:shd w:val="clear" w:color="auto" w:fill="A03033"/>
          </w:tcPr>
          <w:p>
            <w:pPr>
              <w:pStyle w:val="TableParagraph"/>
              <w:spacing w:line="138" w:lineRule="exact" w:before="0"/>
              <w:ind w:right="83"/>
              <w:jc w:val="right"/>
              <w:rPr>
                <w:b/>
                <w:sz w:val="12"/>
              </w:rPr>
            </w:pPr>
            <w:r>
              <w:rPr>
                <w:b/>
                <w:color w:val="FFFFFF"/>
                <w:sz w:val="12"/>
              </w:rPr>
              <w:t>Ammontare</w:t>
            </w:r>
          </w:p>
        </w:tc>
        <w:tc>
          <w:tcPr>
            <w:tcW w:w="801" w:type="dxa"/>
            <w:shd w:val="clear" w:color="auto" w:fill="A03033"/>
          </w:tcPr>
          <w:p>
            <w:pPr>
              <w:pStyle w:val="TableParagraph"/>
              <w:spacing w:line="138" w:lineRule="exact" w:before="0"/>
              <w:ind w:left="43"/>
              <w:rPr>
                <w:b/>
                <w:sz w:val="12"/>
              </w:rPr>
            </w:pPr>
            <w:r>
              <w:rPr>
                <w:b/>
                <w:color w:val="FFFFFF"/>
                <w:sz w:val="12"/>
              </w:rPr>
              <w:t>Natura</w:t>
            </w:r>
          </w:p>
        </w:tc>
        <w:tc>
          <w:tcPr>
            <w:tcW w:w="2827" w:type="dxa"/>
            <w:shd w:val="clear" w:color="auto" w:fill="A03033"/>
          </w:tcPr>
          <w:p>
            <w:pPr>
              <w:pStyle w:val="TableParagraph"/>
              <w:spacing w:line="138" w:lineRule="exact" w:before="0"/>
              <w:ind w:left="1299" w:right="1247"/>
              <w:jc w:val="center"/>
              <w:rPr>
                <w:b/>
                <w:sz w:val="12"/>
              </w:rPr>
            </w:pPr>
            <w:r>
              <w:rPr>
                <w:b/>
                <w:color w:val="FFFFFF"/>
                <w:sz w:val="12"/>
              </w:rPr>
              <w:t>Note</w:t>
            </w:r>
          </w:p>
        </w:tc>
      </w:tr>
      <w:tr>
        <w:trPr>
          <w:trHeight w:val="151" w:hRule="exact"/>
        </w:trPr>
        <w:tc>
          <w:tcPr>
            <w:tcW w:w="684" w:type="dxa"/>
          </w:tcPr>
          <w:p>
            <w:pPr/>
          </w:p>
        </w:tc>
        <w:tc>
          <w:tcPr>
            <w:tcW w:w="1662" w:type="dxa"/>
          </w:tcPr>
          <w:p>
            <w:pPr>
              <w:pStyle w:val="TableParagraph"/>
              <w:spacing w:line="138" w:lineRule="exact" w:before="0"/>
              <w:ind w:left="31"/>
              <w:rPr>
                <w:b/>
                <w:sz w:val="12"/>
              </w:rPr>
            </w:pPr>
            <w:r>
              <w:rPr>
                <w:b/>
                <w:sz w:val="12"/>
              </w:rPr>
              <w:t>Ricavi</w:t>
            </w:r>
          </w:p>
        </w:tc>
        <w:tc>
          <w:tcPr>
            <w:tcW w:w="735" w:type="dxa"/>
          </w:tcPr>
          <w:p>
            <w:pPr>
              <w:pStyle w:val="TableParagraph"/>
              <w:spacing w:line="138" w:lineRule="exact" w:before="0"/>
              <w:ind w:right="45"/>
              <w:jc w:val="right"/>
              <w:rPr>
                <w:b/>
                <w:sz w:val="12"/>
              </w:rPr>
            </w:pPr>
            <w:r>
              <w:rPr>
                <w:b/>
                <w:sz w:val="12"/>
              </w:rPr>
              <w:t>34.143.829</w:t>
            </w:r>
          </w:p>
        </w:tc>
        <w:tc>
          <w:tcPr>
            <w:tcW w:w="801" w:type="dxa"/>
          </w:tcPr>
          <w:p>
            <w:pPr/>
          </w:p>
        </w:tc>
        <w:tc>
          <w:tcPr>
            <w:tcW w:w="2827" w:type="dxa"/>
          </w:tcPr>
          <w:p>
            <w:pPr/>
          </w:p>
        </w:tc>
      </w:tr>
      <w:tr>
        <w:trPr>
          <w:trHeight w:val="162" w:hRule="exact"/>
        </w:trPr>
        <w:tc>
          <w:tcPr>
            <w:tcW w:w="684" w:type="dxa"/>
          </w:tcPr>
          <w:p>
            <w:pPr/>
          </w:p>
        </w:tc>
        <w:tc>
          <w:tcPr>
            <w:tcW w:w="1662" w:type="dxa"/>
          </w:tcPr>
          <w:p>
            <w:pPr>
              <w:pStyle w:val="TableParagraph"/>
              <w:spacing w:before="9"/>
              <w:ind w:left="31"/>
              <w:rPr>
                <w:sz w:val="12"/>
              </w:rPr>
            </w:pPr>
            <w:r>
              <w:rPr>
                <w:sz w:val="12"/>
              </w:rPr>
              <w:t>M&amp;G International Lux</w:t>
            </w:r>
          </w:p>
        </w:tc>
        <w:tc>
          <w:tcPr>
            <w:tcW w:w="735" w:type="dxa"/>
          </w:tcPr>
          <w:p>
            <w:pPr>
              <w:pStyle w:val="TableParagraph"/>
              <w:spacing w:before="9"/>
              <w:ind w:right="45"/>
              <w:jc w:val="right"/>
              <w:rPr>
                <w:sz w:val="12"/>
              </w:rPr>
            </w:pPr>
            <w:r>
              <w:rPr>
                <w:sz w:val="12"/>
              </w:rPr>
              <w:t>14.775.051</w:t>
            </w:r>
          </w:p>
        </w:tc>
        <w:tc>
          <w:tcPr>
            <w:tcW w:w="801" w:type="dxa"/>
          </w:tcPr>
          <w:p>
            <w:pPr>
              <w:pStyle w:val="TableParagraph"/>
              <w:spacing w:before="9"/>
              <w:ind w:left="84"/>
              <w:rPr>
                <w:sz w:val="12"/>
              </w:rPr>
            </w:pPr>
            <w:r>
              <w:rPr>
                <w:sz w:val="12"/>
              </w:rPr>
              <w:t>Commerciali</w:t>
            </w:r>
          </w:p>
        </w:tc>
        <w:tc>
          <w:tcPr>
            <w:tcW w:w="2827" w:type="dxa"/>
          </w:tcPr>
          <w:p>
            <w:pPr>
              <w:pStyle w:val="TableParagraph"/>
              <w:spacing w:before="9"/>
              <w:ind w:left="101"/>
              <w:rPr>
                <w:sz w:val="12"/>
              </w:rPr>
            </w:pPr>
            <w:r>
              <w:rPr>
                <w:sz w:val="12"/>
              </w:rPr>
              <w:t>Servizi resi</w:t>
            </w:r>
          </w:p>
        </w:tc>
      </w:tr>
      <w:tr>
        <w:trPr>
          <w:trHeight w:val="163" w:hRule="exact"/>
        </w:trPr>
        <w:tc>
          <w:tcPr>
            <w:tcW w:w="684" w:type="dxa"/>
          </w:tcPr>
          <w:p>
            <w:pPr/>
          </w:p>
        </w:tc>
        <w:tc>
          <w:tcPr>
            <w:tcW w:w="1662" w:type="dxa"/>
          </w:tcPr>
          <w:p>
            <w:pPr>
              <w:pStyle w:val="TableParagraph"/>
              <w:ind w:left="31"/>
              <w:rPr>
                <w:sz w:val="12"/>
              </w:rPr>
            </w:pPr>
            <w:r>
              <w:rPr>
                <w:sz w:val="12"/>
              </w:rPr>
              <w:t>M&amp;G Polymers Usa</w:t>
            </w:r>
          </w:p>
        </w:tc>
        <w:tc>
          <w:tcPr>
            <w:tcW w:w="735" w:type="dxa"/>
          </w:tcPr>
          <w:p>
            <w:pPr>
              <w:pStyle w:val="TableParagraph"/>
              <w:ind w:right="45"/>
              <w:jc w:val="right"/>
              <w:rPr>
                <w:sz w:val="12"/>
              </w:rPr>
            </w:pPr>
            <w:r>
              <w:rPr>
                <w:sz w:val="12"/>
              </w:rPr>
              <w:t>1.050.903</w:t>
            </w:r>
          </w:p>
        </w:tc>
        <w:tc>
          <w:tcPr>
            <w:tcW w:w="801" w:type="dxa"/>
          </w:tcPr>
          <w:p>
            <w:pPr>
              <w:pStyle w:val="TableParagraph"/>
              <w:ind w:left="84"/>
              <w:rPr>
                <w:sz w:val="12"/>
              </w:rPr>
            </w:pPr>
            <w:r>
              <w:rPr>
                <w:sz w:val="12"/>
              </w:rPr>
              <w:t>Commerciali</w:t>
            </w:r>
          </w:p>
        </w:tc>
        <w:tc>
          <w:tcPr>
            <w:tcW w:w="2827" w:type="dxa"/>
          </w:tcPr>
          <w:p>
            <w:pPr>
              <w:pStyle w:val="TableParagraph"/>
              <w:ind w:left="100"/>
              <w:rPr>
                <w:sz w:val="12"/>
              </w:rPr>
            </w:pPr>
            <w:r>
              <w:rPr>
                <w:sz w:val="12"/>
              </w:rPr>
              <w:t>Servizi</w:t>
            </w:r>
          </w:p>
        </w:tc>
      </w:tr>
      <w:tr>
        <w:trPr>
          <w:trHeight w:val="163" w:hRule="exact"/>
        </w:trPr>
        <w:tc>
          <w:tcPr>
            <w:tcW w:w="684" w:type="dxa"/>
          </w:tcPr>
          <w:p>
            <w:pPr/>
          </w:p>
        </w:tc>
        <w:tc>
          <w:tcPr>
            <w:tcW w:w="1662" w:type="dxa"/>
          </w:tcPr>
          <w:p>
            <w:pPr>
              <w:pStyle w:val="TableParagraph"/>
              <w:ind w:left="31"/>
              <w:rPr>
                <w:sz w:val="12"/>
              </w:rPr>
            </w:pPr>
            <w:r>
              <w:rPr>
                <w:sz w:val="12"/>
              </w:rPr>
              <w:t>Carolina Cellulosic Biofuels</w:t>
            </w:r>
          </w:p>
        </w:tc>
        <w:tc>
          <w:tcPr>
            <w:tcW w:w="735" w:type="dxa"/>
          </w:tcPr>
          <w:p>
            <w:pPr>
              <w:pStyle w:val="TableParagraph"/>
              <w:ind w:right="46"/>
              <w:jc w:val="right"/>
              <w:rPr>
                <w:sz w:val="12"/>
              </w:rPr>
            </w:pPr>
            <w:r>
              <w:rPr>
                <w:sz w:val="12"/>
              </w:rPr>
              <w:t>551.116</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Servizi resi</w:t>
            </w:r>
          </w:p>
        </w:tc>
      </w:tr>
      <w:tr>
        <w:trPr>
          <w:trHeight w:val="163" w:hRule="exact"/>
        </w:trPr>
        <w:tc>
          <w:tcPr>
            <w:tcW w:w="684" w:type="dxa"/>
          </w:tcPr>
          <w:p>
            <w:pPr/>
          </w:p>
        </w:tc>
        <w:tc>
          <w:tcPr>
            <w:tcW w:w="1662" w:type="dxa"/>
          </w:tcPr>
          <w:p>
            <w:pPr>
              <w:pStyle w:val="TableParagraph"/>
              <w:ind w:left="31"/>
              <w:rPr>
                <w:sz w:val="12"/>
              </w:rPr>
            </w:pPr>
            <w:r>
              <w:rPr>
                <w:sz w:val="12"/>
              </w:rPr>
              <w:t>Chemtex International Inc</w:t>
            </w:r>
          </w:p>
        </w:tc>
        <w:tc>
          <w:tcPr>
            <w:tcW w:w="735" w:type="dxa"/>
          </w:tcPr>
          <w:p>
            <w:pPr>
              <w:pStyle w:val="TableParagraph"/>
              <w:ind w:right="167"/>
              <w:jc w:val="right"/>
              <w:rPr>
                <w:sz w:val="12"/>
              </w:rPr>
            </w:pPr>
            <w:r>
              <w:rPr>
                <w:w w:val="102"/>
                <w:sz w:val="12"/>
              </w:rPr>
              <w:t>-</w:t>
            </w:r>
          </w:p>
        </w:tc>
        <w:tc>
          <w:tcPr>
            <w:tcW w:w="801" w:type="dxa"/>
          </w:tcPr>
          <w:p>
            <w:pPr>
              <w:pStyle w:val="TableParagraph"/>
              <w:ind w:left="84"/>
              <w:rPr>
                <w:sz w:val="12"/>
              </w:rPr>
            </w:pPr>
            <w:r>
              <w:rPr>
                <w:sz w:val="12"/>
              </w:rPr>
              <w:t>Commerciali</w:t>
            </w:r>
          </w:p>
        </w:tc>
        <w:tc>
          <w:tcPr>
            <w:tcW w:w="2827" w:type="dxa"/>
          </w:tcPr>
          <w:p>
            <w:pPr>
              <w:pStyle w:val="TableParagraph"/>
              <w:ind w:left="100"/>
              <w:rPr>
                <w:sz w:val="12"/>
              </w:rPr>
            </w:pPr>
            <w:r>
              <w:rPr>
                <w:sz w:val="12"/>
              </w:rPr>
              <w:t>Servizi resi</w:t>
            </w:r>
          </w:p>
        </w:tc>
      </w:tr>
      <w:tr>
        <w:trPr>
          <w:trHeight w:val="163" w:hRule="exact"/>
        </w:trPr>
        <w:tc>
          <w:tcPr>
            <w:tcW w:w="684" w:type="dxa"/>
          </w:tcPr>
          <w:p>
            <w:pPr/>
          </w:p>
        </w:tc>
        <w:tc>
          <w:tcPr>
            <w:tcW w:w="1662" w:type="dxa"/>
          </w:tcPr>
          <w:p>
            <w:pPr>
              <w:pStyle w:val="TableParagraph"/>
              <w:ind w:left="31"/>
              <w:rPr>
                <w:sz w:val="12"/>
              </w:rPr>
            </w:pPr>
            <w:r>
              <w:rPr>
                <w:sz w:val="12"/>
              </w:rPr>
              <w:t>Chemtex Shanghai Cina</w:t>
            </w:r>
          </w:p>
        </w:tc>
        <w:tc>
          <w:tcPr>
            <w:tcW w:w="735" w:type="dxa"/>
          </w:tcPr>
          <w:p>
            <w:pPr>
              <w:pStyle w:val="TableParagraph"/>
              <w:ind w:right="167"/>
              <w:jc w:val="right"/>
              <w:rPr>
                <w:sz w:val="12"/>
              </w:rPr>
            </w:pPr>
            <w:r>
              <w:rPr>
                <w:w w:val="102"/>
                <w:sz w:val="12"/>
              </w:rPr>
              <w:t>-</w:t>
            </w:r>
          </w:p>
        </w:tc>
        <w:tc>
          <w:tcPr>
            <w:tcW w:w="801" w:type="dxa"/>
          </w:tcPr>
          <w:p>
            <w:pPr>
              <w:pStyle w:val="TableParagraph"/>
              <w:ind w:left="84"/>
              <w:rPr>
                <w:sz w:val="12"/>
              </w:rPr>
            </w:pPr>
            <w:r>
              <w:rPr>
                <w:sz w:val="12"/>
              </w:rPr>
              <w:t>Commerciali</w:t>
            </w:r>
          </w:p>
        </w:tc>
        <w:tc>
          <w:tcPr>
            <w:tcW w:w="2827" w:type="dxa"/>
          </w:tcPr>
          <w:p>
            <w:pPr>
              <w:pStyle w:val="TableParagraph"/>
              <w:ind w:left="100"/>
              <w:rPr>
                <w:sz w:val="12"/>
              </w:rPr>
            </w:pPr>
            <w:r>
              <w:rPr>
                <w:sz w:val="12"/>
              </w:rPr>
              <w:t>Servizi resi</w:t>
            </w:r>
          </w:p>
        </w:tc>
      </w:tr>
      <w:tr>
        <w:trPr>
          <w:trHeight w:val="164" w:hRule="exact"/>
        </w:trPr>
        <w:tc>
          <w:tcPr>
            <w:tcW w:w="684" w:type="dxa"/>
          </w:tcPr>
          <w:p>
            <w:pPr/>
          </w:p>
        </w:tc>
        <w:tc>
          <w:tcPr>
            <w:tcW w:w="1662" w:type="dxa"/>
          </w:tcPr>
          <w:p>
            <w:pPr>
              <w:pStyle w:val="TableParagraph"/>
              <w:ind w:left="31"/>
              <w:rPr>
                <w:sz w:val="12"/>
              </w:rPr>
            </w:pPr>
            <w:r>
              <w:rPr>
                <w:sz w:val="12"/>
              </w:rPr>
              <w:t>M&amp;G Finanziaria</w:t>
            </w:r>
          </w:p>
        </w:tc>
        <w:tc>
          <w:tcPr>
            <w:tcW w:w="735" w:type="dxa"/>
          </w:tcPr>
          <w:p>
            <w:pPr>
              <w:pStyle w:val="TableParagraph"/>
              <w:ind w:right="45"/>
              <w:jc w:val="right"/>
              <w:rPr>
                <w:sz w:val="12"/>
              </w:rPr>
            </w:pPr>
            <w:r>
              <w:rPr>
                <w:sz w:val="12"/>
              </w:rPr>
              <w:t>4.326.433</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Servizi resi</w:t>
            </w:r>
          </w:p>
        </w:tc>
      </w:tr>
      <w:tr>
        <w:trPr>
          <w:trHeight w:val="164" w:hRule="exact"/>
        </w:trPr>
        <w:tc>
          <w:tcPr>
            <w:tcW w:w="684" w:type="dxa"/>
          </w:tcPr>
          <w:p>
            <w:pPr/>
          </w:p>
        </w:tc>
        <w:tc>
          <w:tcPr>
            <w:tcW w:w="1662" w:type="dxa"/>
          </w:tcPr>
          <w:p>
            <w:pPr>
              <w:pStyle w:val="TableParagraph"/>
              <w:ind w:left="31"/>
              <w:rPr>
                <w:sz w:val="12"/>
              </w:rPr>
            </w:pPr>
            <w:r>
              <w:rPr>
                <w:sz w:val="12"/>
              </w:rPr>
              <w:t>Biochemtex Agro</w:t>
            </w:r>
          </w:p>
        </w:tc>
        <w:tc>
          <w:tcPr>
            <w:tcW w:w="735" w:type="dxa"/>
          </w:tcPr>
          <w:p>
            <w:pPr>
              <w:pStyle w:val="TableParagraph"/>
              <w:ind w:right="45"/>
              <w:jc w:val="right"/>
              <w:rPr>
                <w:sz w:val="12"/>
              </w:rPr>
            </w:pPr>
            <w:r>
              <w:rPr>
                <w:sz w:val="12"/>
              </w:rPr>
              <w:t>1.181.237</w:t>
            </w:r>
          </w:p>
        </w:tc>
        <w:tc>
          <w:tcPr>
            <w:tcW w:w="801" w:type="dxa"/>
          </w:tcPr>
          <w:p>
            <w:pPr>
              <w:pStyle w:val="TableParagraph"/>
              <w:ind w:left="84"/>
              <w:rPr>
                <w:sz w:val="12"/>
              </w:rPr>
            </w:pPr>
            <w:r>
              <w:rPr>
                <w:sz w:val="12"/>
              </w:rPr>
              <w:t>Finanziari</w:t>
            </w:r>
          </w:p>
        </w:tc>
        <w:tc>
          <w:tcPr>
            <w:tcW w:w="2827" w:type="dxa"/>
          </w:tcPr>
          <w:p>
            <w:pPr>
              <w:pStyle w:val="TableParagraph"/>
              <w:ind w:left="100"/>
              <w:rPr>
                <w:sz w:val="12"/>
              </w:rPr>
            </w:pPr>
            <w:r>
              <w:rPr>
                <w:sz w:val="12"/>
              </w:rPr>
              <w:t>Interessi</w:t>
            </w:r>
          </w:p>
        </w:tc>
      </w:tr>
      <w:tr>
        <w:trPr>
          <w:trHeight w:val="163" w:hRule="exact"/>
        </w:trPr>
        <w:tc>
          <w:tcPr>
            <w:tcW w:w="684" w:type="dxa"/>
          </w:tcPr>
          <w:p>
            <w:pPr/>
          </w:p>
        </w:tc>
        <w:tc>
          <w:tcPr>
            <w:tcW w:w="1662" w:type="dxa"/>
          </w:tcPr>
          <w:p>
            <w:pPr>
              <w:pStyle w:val="TableParagraph"/>
              <w:ind w:left="31"/>
              <w:rPr>
                <w:sz w:val="12"/>
              </w:rPr>
            </w:pPr>
            <w:r>
              <w:rPr>
                <w:sz w:val="12"/>
              </w:rPr>
              <w:t>Biochemtex Agro</w:t>
            </w:r>
          </w:p>
        </w:tc>
        <w:tc>
          <w:tcPr>
            <w:tcW w:w="735" w:type="dxa"/>
          </w:tcPr>
          <w:p>
            <w:pPr>
              <w:pStyle w:val="TableParagraph"/>
              <w:ind w:right="45"/>
              <w:jc w:val="right"/>
              <w:rPr>
                <w:sz w:val="12"/>
              </w:rPr>
            </w:pPr>
            <w:r>
              <w:rPr>
                <w:sz w:val="12"/>
              </w:rPr>
              <w:t>85.278</w:t>
            </w:r>
          </w:p>
        </w:tc>
        <w:tc>
          <w:tcPr>
            <w:tcW w:w="801" w:type="dxa"/>
          </w:tcPr>
          <w:p>
            <w:pPr>
              <w:pStyle w:val="TableParagraph"/>
              <w:ind w:left="84"/>
              <w:rPr>
                <w:sz w:val="12"/>
              </w:rPr>
            </w:pPr>
            <w:r>
              <w:rPr>
                <w:sz w:val="12"/>
              </w:rPr>
              <w:t>Finanziari</w:t>
            </w:r>
          </w:p>
        </w:tc>
        <w:tc>
          <w:tcPr>
            <w:tcW w:w="2827" w:type="dxa"/>
          </w:tcPr>
          <w:p>
            <w:pPr>
              <w:pStyle w:val="TableParagraph"/>
              <w:ind w:left="101"/>
              <w:rPr>
                <w:sz w:val="12"/>
              </w:rPr>
            </w:pPr>
            <w:r>
              <w:rPr>
                <w:sz w:val="12"/>
              </w:rPr>
              <w:t>Interessi</w:t>
            </w:r>
          </w:p>
        </w:tc>
      </w:tr>
      <w:tr>
        <w:trPr>
          <w:trHeight w:val="163" w:hRule="exact"/>
        </w:trPr>
        <w:tc>
          <w:tcPr>
            <w:tcW w:w="684" w:type="dxa"/>
          </w:tcPr>
          <w:p>
            <w:pPr/>
          </w:p>
        </w:tc>
        <w:tc>
          <w:tcPr>
            <w:tcW w:w="1662" w:type="dxa"/>
          </w:tcPr>
          <w:p>
            <w:pPr>
              <w:pStyle w:val="TableParagraph"/>
              <w:ind w:left="31"/>
              <w:rPr>
                <w:sz w:val="12"/>
              </w:rPr>
            </w:pPr>
            <w:r>
              <w:rPr>
                <w:sz w:val="12"/>
              </w:rPr>
              <w:t>Italian Bio Products</w:t>
            </w:r>
          </w:p>
        </w:tc>
        <w:tc>
          <w:tcPr>
            <w:tcW w:w="735" w:type="dxa"/>
          </w:tcPr>
          <w:p>
            <w:pPr>
              <w:pStyle w:val="TableParagraph"/>
              <w:ind w:right="45"/>
              <w:jc w:val="right"/>
              <w:rPr>
                <w:sz w:val="12"/>
              </w:rPr>
            </w:pPr>
            <w:r>
              <w:rPr>
                <w:sz w:val="12"/>
              </w:rPr>
              <w:t>32.925</w:t>
            </w:r>
          </w:p>
        </w:tc>
        <w:tc>
          <w:tcPr>
            <w:tcW w:w="801" w:type="dxa"/>
          </w:tcPr>
          <w:p>
            <w:pPr>
              <w:pStyle w:val="TableParagraph"/>
              <w:ind w:left="84"/>
              <w:rPr>
                <w:sz w:val="12"/>
              </w:rPr>
            </w:pPr>
            <w:r>
              <w:rPr>
                <w:sz w:val="12"/>
              </w:rPr>
              <w:t>Commerciali</w:t>
            </w:r>
          </w:p>
        </w:tc>
        <w:tc>
          <w:tcPr>
            <w:tcW w:w="2827" w:type="dxa"/>
          </w:tcPr>
          <w:p>
            <w:pPr>
              <w:pStyle w:val="TableParagraph"/>
              <w:ind w:left="100"/>
              <w:rPr>
                <w:sz w:val="12"/>
              </w:rPr>
            </w:pPr>
            <w:r>
              <w:rPr>
                <w:sz w:val="12"/>
              </w:rPr>
              <w:t>Servizi</w:t>
            </w:r>
          </w:p>
        </w:tc>
      </w:tr>
      <w:tr>
        <w:trPr>
          <w:trHeight w:val="163" w:hRule="exact"/>
        </w:trPr>
        <w:tc>
          <w:tcPr>
            <w:tcW w:w="684" w:type="dxa"/>
          </w:tcPr>
          <w:p>
            <w:pPr/>
          </w:p>
        </w:tc>
        <w:tc>
          <w:tcPr>
            <w:tcW w:w="1662" w:type="dxa"/>
          </w:tcPr>
          <w:p>
            <w:pPr>
              <w:pStyle w:val="TableParagraph"/>
              <w:ind w:left="31"/>
              <w:rPr>
                <w:sz w:val="12"/>
              </w:rPr>
            </w:pPr>
            <w:r>
              <w:rPr>
                <w:sz w:val="12"/>
              </w:rPr>
              <w:t>Italian Bio Products</w:t>
            </w:r>
          </w:p>
        </w:tc>
        <w:tc>
          <w:tcPr>
            <w:tcW w:w="735" w:type="dxa"/>
          </w:tcPr>
          <w:p>
            <w:pPr>
              <w:pStyle w:val="TableParagraph"/>
              <w:ind w:right="45"/>
              <w:jc w:val="right"/>
              <w:rPr>
                <w:sz w:val="12"/>
              </w:rPr>
            </w:pPr>
            <w:r>
              <w:rPr>
                <w:sz w:val="12"/>
              </w:rPr>
              <w:t>2.036.757</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Servizi resi</w:t>
            </w:r>
          </w:p>
        </w:tc>
      </w:tr>
      <w:tr>
        <w:trPr>
          <w:trHeight w:val="163" w:hRule="exact"/>
        </w:trPr>
        <w:tc>
          <w:tcPr>
            <w:tcW w:w="684" w:type="dxa"/>
          </w:tcPr>
          <w:p>
            <w:pPr/>
          </w:p>
        </w:tc>
        <w:tc>
          <w:tcPr>
            <w:tcW w:w="1662" w:type="dxa"/>
          </w:tcPr>
          <w:p>
            <w:pPr>
              <w:pStyle w:val="TableParagraph"/>
              <w:ind w:left="31"/>
              <w:rPr>
                <w:sz w:val="12"/>
              </w:rPr>
            </w:pPr>
            <w:r>
              <w:rPr>
                <w:sz w:val="12"/>
              </w:rPr>
              <w:t>IBP Energia</w:t>
            </w:r>
          </w:p>
        </w:tc>
        <w:tc>
          <w:tcPr>
            <w:tcW w:w="735" w:type="dxa"/>
          </w:tcPr>
          <w:p>
            <w:pPr>
              <w:pStyle w:val="TableParagraph"/>
              <w:ind w:right="45"/>
              <w:jc w:val="right"/>
              <w:rPr>
                <w:sz w:val="12"/>
              </w:rPr>
            </w:pPr>
            <w:r>
              <w:rPr>
                <w:sz w:val="12"/>
              </w:rPr>
              <w:t>391.237</w:t>
            </w:r>
          </w:p>
        </w:tc>
        <w:tc>
          <w:tcPr>
            <w:tcW w:w="801" w:type="dxa"/>
          </w:tcPr>
          <w:p>
            <w:pPr>
              <w:pStyle w:val="TableParagraph"/>
              <w:ind w:left="84"/>
              <w:rPr>
                <w:sz w:val="12"/>
              </w:rPr>
            </w:pPr>
            <w:r>
              <w:rPr>
                <w:sz w:val="12"/>
              </w:rPr>
              <w:t>Finanziari</w:t>
            </w:r>
          </w:p>
        </w:tc>
        <w:tc>
          <w:tcPr>
            <w:tcW w:w="2827" w:type="dxa"/>
          </w:tcPr>
          <w:p>
            <w:pPr>
              <w:pStyle w:val="TableParagraph"/>
              <w:ind w:left="101"/>
              <w:rPr>
                <w:sz w:val="12"/>
              </w:rPr>
            </w:pPr>
            <w:r>
              <w:rPr>
                <w:sz w:val="12"/>
              </w:rPr>
              <w:t>Interessi</w:t>
            </w:r>
          </w:p>
        </w:tc>
      </w:tr>
      <w:tr>
        <w:trPr>
          <w:trHeight w:val="163" w:hRule="exact"/>
        </w:trPr>
        <w:tc>
          <w:tcPr>
            <w:tcW w:w="684" w:type="dxa"/>
          </w:tcPr>
          <w:p>
            <w:pPr/>
          </w:p>
        </w:tc>
        <w:tc>
          <w:tcPr>
            <w:tcW w:w="1662" w:type="dxa"/>
          </w:tcPr>
          <w:p>
            <w:pPr>
              <w:pStyle w:val="TableParagraph"/>
              <w:ind w:left="31"/>
              <w:rPr>
                <w:sz w:val="12"/>
              </w:rPr>
            </w:pPr>
            <w:r>
              <w:rPr>
                <w:sz w:val="12"/>
              </w:rPr>
              <w:t>IBP Energia</w:t>
            </w:r>
          </w:p>
        </w:tc>
        <w:tc>
          <w:tcPr>
            <w:tcW w:w="735" w:type="dxa"/>
          </w:tcPr>
          <w:p>
            <w:pPr>
              <w:pStyle w:val="TableParagraph"/>
              <w:ind w:right="45"/>
              <w:jc w:val="right"/>
              <w:rPr>
                <w:sz w:val="12"/>
              </w:rPr>
            </w:pPr>
            <w:r>
              <w:rPr>
                <w:sz w:val="12"/>
              </w:rPr>
              <w:t>18.820</w:t>
            </w:r>
          </w:p>
        </w:tc>
        <w:tc>
          <w:tcPr>
            <w:tcW w:w="801" w:type="dxa"/>
          </w:tcPr>
          <w:p>
            <w:pPr>
              <w:pStyle w:val="TableParagraph"/>
              <w:ind w:left="84"/>
              <w:rPr>
                <w:sz w:val="12"/>
              </w:rPr>
            </w:pPr>
            <w:r>
              <w:rPr>
                <w:sz w:val="12"/>
              </w:rPr>
              <w:t>Finanziari</w:t>
            </w:r>
          </w:p>
        </w:tc>
        <w:tc>
          <w:tcPr>
            <w:tcW w:w="2827" w:type="dxa"/>
          </w:tcPr>
          <w:p>
            <w:pPr>
              <w:pStyle w:val="TableParagraph"/>
              <w:ind w:left="101"/>
              <w:rPr>
                <w:sz w:val="12"/>
              </w:rPr>
            </w:pPr>
            <w:r>
              <w:rPr>
                <w:sz w:val="12"/>
              </w:rPr>
              <w:t>Interessi</w:t>
            </w:r>
          </w:p>
        </w:tc>
      </w:tr>
      <w:tr>
        <w:trPr>
          <w:trHeight w:val="164" w:hRule="exact"/>
        </w:trPr>
        <w:tc>
          <w:tcPr>
            <w:tcW w:w="684" w:type="dxa"/>
          </w:tcPr>
          <w:p>
            <w:pPr/>
          </w:p>
        </w:tc>
        <w:tc>
          <w:tcPr>
            <w:tcW w:w="1662" w:type="dxa"/>
          </w:tcPr>
          <w:p>
            <w:pPr>
              <w:pStyle w:val="TableParagraph"/>
              <w:ind w:left="31"/>
              <w:rPr>
                <w:sz w:val="12"/>
              </w:rPr>
            </w:pPr>
            <w:r>
              <w:rPr>
                <w:sz w:val="12"/>
              </w:rPr>
              <w:t>Beta Renewables</w:t>
            </w:r>
          </w:p>
        </w:tc>
        <w:tc>
          <w:tcPr>
            <w:tcW w:w="735" w:type="dxa"/>
          </w:tcPr>
          <w:p>
            <w:pPr>
              <w:pStyle w:val="TableParagraph"/>
              <w:ind w:right="45"/>
              <w:jc w:val="right"/>
              <w:rPr>
                <w:sz w:val="12"/>
              </w:rPr>
            </w:pPr>
            <w:r>
              <w:rPr>
                <w:sz w:val="12"/>
              </w:rPr>
              <w:t>1.800</w:t>
            </w:r>
          </w:p>
        </w:tc>
        <w:tc>
          <w:tcPr>
            <w:tcW w:w="801" w:type="dxa"/>
          </w:tcPr>
          <w:p>
            <w:pPr>
              <w:pStyle w:val="TableParagraph"/>
              <w:ind w:left="84"/>
              <w:rPr>
                <w:sz w:val="12"/>
              </w:rPr>
            </w:pPr>
            <w:r>
              <w:rPr>
                <w:sz w:val="12"/>
              </w:rPr>
              <w:t>Commerciali</w:t>
            </w:r>
          </w:p>
        </w:tc>
        <w:tc>
          <w:tcPr>
            <w:tcW w:w="2827" w:type="dxa"/>
          </w:tcPr>
          <w:p>
            <w:pPr>
              <w:pStyle w:val="TableParagraph"/>
              <w:ind w:left="100"/>
              <w:rPr>
                <w:sz w:val="12"/>
              </w:rPr>
            </w:pPr>
            <w:r>
              <w:rPr>
                <w:sz w:val="12"/>
              </w:rPr>
              <w:t>Servizi resi</w:t>
            </w:r>
          </w:p>
        </w:tc>
      </w:tr>
      <w:tr>
        <w:trPr>
          <w:trHeight w:val="164" w:hRule="exact"/>
        </w:trPr>
        <w:tc>
          <w:tcPr>
            <w:tcW w:w="684" w:type="dxa"/>
          </w:tcPr>
          <w:p>
            <w:pPr>
              <w:pStyle w:val="TableParagraph"/>
              <w:spacing w:line="108" w:lineRule="exact" w:before="95"/>
              <w:ind w:left="54" w:right="42"/>
              <w:jc w:val="center"/>
              <w:rPr>
                <w:b/>
                <w:sz w:val="12"/>
              </w:rPr>
            </w:pPr>
            <w:r>
              <w:rPr>
                <w:b/>
                <w:sz w:val="12"/>
              </w:rPr>
              <w:t>31/12/2015</w:t>
            </w:r>
          </w:p>
        </w:tc>
        <w:tc>
          <w:tcPr>
            <w:tcW w:w="1662" w:type="dxa"/>
          </w:tcPr>
          <w:p>
            <w:pPr>
              <w:pStyle w:val="TableParagraph"/>
              <w:ind w:left="31"/>
              <w:rPr>
                <w:sz w:val="12"/>
              </w:rPr>
            </w:pPr>
            <w:r>
              <w:rPr>
                <w:sz w:val="12"/>
              </w:rPr>
              <w:t>C5 6</w:t>
            </w:r>
          </w:p>
        </w:tc>
        <w:tc>
          <w:tcPr>
            <w:tcW w:w="735" w:type="dxa"/>
          </w:tcPr>
          <w:p>
            <w:pPr>
              <w:pStyle w:val="TableParagraph"/>
              <w:ind w:right="45"/>
              <w:jc w:val="right"/>
              <w:rPr>
                <w:sz w:val="12"/>
              </w:rPr>
            </w:pPr>
            <w:r>
              <w:rPr>
                <w:sz w:val="12"/>
              </w:rPr>
              <w:t>9.640.000</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Servizi resi</w:t>
            </w:r>
          </w:p>
        </w:tc>
      </w:tr>
      <w:tr>
        <w:trPr>
          <w:trHeight w:val="163" w:hRule="exact"/>
        </w:trPr>
        <w:tc>
          <w:tcPr>
            <w:tcW w:w="684" w:type="dxa"/>
          </w:tcPr>
          <w:p>
            <w:pPr/>
          </w:p>
        </w:tc>
        <w:tc>
          <w:tcPr>
            <w:tcW w:w="1662" w:type="dxa"/>
          </w:tcPr>
          <w:p>
            <w:pPr>
              <w:pStyle w:val="TableParagraph"/>
              <w:ind w:left="31"/>
              <w:rPr>
                <w:sz w:val="12"/>
              </w:rPr>
            </w:pPr>
            <w:r>
              <w:rPr>
                <w:sz w:val="12"/>
              </w:rPr>
              <w:t>C5 6</w:t>
            </w:r>
          </w:p>
        </w:tc>
        <w:tc>
          <w:tcPr>
            <w:tcW w:w="735" w:type="dxa"/>
          </w:tcPr>
          <w:p>
            <w:pPr>
              <w:pStyle w:val="TableParagraph"/>
              <w:ind w:right="45"/>
              <w:jc w:val="right"/>
              <w:rPr>
                <w:sz w:val="12"/>
              </w:rPr>
            </w:pPr>
            <w:r>
              <w:rPr>
                <w:sz w:val="12"/>
              </w:rPr>
              <w:t>25.000</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Servizi resi</w:t>
            </w:r>
          </w:p>
        </w:tc>
      </w:tr>
      <w:tr>
        <w:trPr>
          <w:trHeight w:val="171" w:hRule="exact"/>
        </w:trPr>
        <w:tc>
          <w:tcPr>
            <w:tcW w:w="684" w:type="dxa"/>
          </w:tcPr>
          <w:p>
            <w:pPr/>
          </w:p>
        </w:tc>
        <w:tc>
          <w:tcPr>
            <w:tcW w:w="1662" w:type="dxa"/>
            <w:tcBorders>
              <w:bottom w:val="single" w:sz="4" w:space="0" w:color="000000"/>
            </w:tcBorders>
          </w:tcPr>
          <w:p>
            <w:pPr>
              <w:pStyle w:val="TableParagraph"/>
              <w:ind w:left="31"/>
              <w:rPr>
                <w:sz w:val="12"/>
              </w:rPr>
            </w:pPr>
            <w:r>
              <w:rPr>
                <w:sz w:val="12"/>
              </w:rPr>
              <w:t>Mossi &amp; Ghisolfi S.p.A.</w:t>
            </w:r>
          </w:p>
        </w:tc>
        <w:tc>
          <w:tcPr>
            <w:tcW w:w="735" w:type="dxa"/>
            <w:tcBorders>
              <w:bottom w:val="single" w:sz="4" w:space="0" w:color="000000"/>
            </w:tcBorders>
          </w:tcPr>
          <w:p>
            <w:pPr>
              <w:pStyle w:val="TableParagraph"/>
              <w:ind w:right="45"/>
              <w:jc w:val="right"/>
              <w:rPr>
                <w:sz w:val="12"/>
              </w:rPr>
            </w:pPr>
            <w:r>
              <w:rPr>
                <w:sz w:val="12"/>
              </w:rPr>
              <w:t>27.272</w:t>
            </w:r>
          </w:p>
        </w:tc>
        <w:tc>
          <w:tcPr>
            <w:tcW w:w="801" w:type="dxa"/>
            <w:tcBorders>
              <w:bottom w:val="single" w:sz="4" w:space="0" w:color="000000"/>
            </w:tcBorders>
          </w:tcPr>
          <w:p>
            <w:pPr>
              <w:pStyle w:val="TableParagraph"/>
              <w:ind w:left="84"/>
              <w:rPr>
                <w:sz w:val="12"/>
              </w:rPr>
            </w:pPr>
            <w:r>
              <w:rPr>
                <w:sz w:val="12"/>
              </w:rPr>
              <w:t>Finanziari</w:t>
            </w:r>
          </w:p>
        </w:tc>
        <w:tc>
          <w:tcPr>
            <w:tcW w:w="2827" w:type="dxa"/>
            <w:tcBorders>
              <w:bottom w:val="single" w:sz="4" w:space="0" w:color="000000"/>
            </w:tcBorders>
          </w:tcPr>
          <w:p>
            <w:pPr>
              <w:pStyle w:val="TableParagraph"/>
              <w:ind w:left="101"/>
              <w:rPr>
                <w:sz w:val="12"/>
              </w:rPr>
            </w:pPr>
            <w:r>
              <w:rPr>
                <w:sz w:val="12"/>
              </w:rPr>
              <w:t>Interessi</w:t>
            </w:r>
          </w:p>
        </w:tc>
      </w:tr>
      <w:tr>
        <w:trPr>
          <w:trHeight w:val="156" w:hRule="exact"/>
        </w:trPr>
        <w:tc>
          <w:tcPr>
            <w:tcW w:w="684" w:type="dxa"/>
          </w:tcPr>
          <w:p>
            <w:pPr/>
          </w:p>
        </w:tc>
        <w:tc>
          <w:tcPr>
            <w:tcW w:w="1662" w:type="dxa"/>
            <w:tcBorders>
              <w:top w:val="single" w:sz="4" w:space="0" w:color="000000"/>
            </w:tcBorders>
          </w:tcPr>
          <w:p>
            <w:pPr>
              <w:pStyle w:val="TableParagraph"/>
              <w:spacing w:before="0"/>
              <w:ind w:left="31"/>
              <w:rPr>
                <w:b/>
                <w:sz w:val="12"/>
              </w:rPr>
            </w:pPr>
            <w:r>
              <w:rPr>
                <w:b/>
                <w:sz w:val="12"/>
              </w:rPr>
              <w:t>Costi</w:t>
            </w:r>
          </w:p>
        </w:tc>
        <w:tc>
          <w:tcPr>
            <w:tcW w:w="735" w:type="dxa"/>
            <w:tcBorders>
              <w:top w:val="single" w:sz="4" w:space="0" w:color="000000"/>
            </w:tcBorders>
          </w:tcPr>
          <w:p>
            <w:pPr>
              <w:pStyle w:val="TableParagraph"/>
              <w:spacing w:before="0"/>
              <w:ind w:right="45"/>
              <w:jc w:val="right"/>
              <w:rPr>
                <w:b/>
                <w:sz w:val="12"/>
              </w:rPr>
            </w:pPr>
            <w:r>
              <w:rPr>
                <w:b/>
                <w:sz w:val="12"/>
              </w:rPr>
              <w:t>10.039.315</w:t>
            </w:r>
          </w:p>
        </w:tc>
        <w:tc>
          <w:tcPr>
            <w:tcW w:w="801" w:type="dxa"/>
            <w:tcBorders>
              <w:top w:val="single" w:sz="4" w:space="0" w:color="000000"/>
            </w:tcBorders>
          </w:tcPr>
          <w:p>
            <w:pPr/>
          </w:p>
        </w:tc>
        <w:tc>
          <w:tcPr>
            <w:tcW w:w="2827" w:type="dxa"/>
            <w:tcBorders>
              <w:top w:val="single" w:sz="4" w:space="0" w:color="000000"/>
            </w:tcBorders>
          </w:tcPr>
          <w:p>
            <w:pPr/>
          </w:p>
        </w:tc>
      </w:tr>
      <w:tr>
        <w:trPr>
          <w:trHeight w:val="162" w:hRule="exact"/>
        </w:trPr>
        <w:tc>
          <w:tcPr>
            <w:tcW w:w="684" w:type="dxa"/>
          </w:tcPr>
          <w:p>
            <w:pPr/>
          </w:p>
        </w:tc>
        <w:tc>
          <w:tcPr>
            <w:tcW w:w="1662" w:type="dxa"/>
          </w:tcPr>
          <w:p>
            <w:pPr>
              <w:pStyle w:val="TableParagraph"/>
              <w:spacing w:before="9"/>
              <w:ind w:left="31"/>
              <w:rPr>
                <w:sz w:val="12"/>
              </w:rPr>
            </w:pPr>
            <w:r>
              <w:rPr>
                <w:sz w:val="12"/>
              </w:rPr>
              <w:t>Mossi &amp; Ghisolfi S.p.A.</w:t>
            </w:r>
          </w:p>
        </w:tc>
        <w:tc>
          <w:tcPr>
            <w:tcW w:w="735" w:type="dxa"/>
          </w:tcPr>
          <w:p>
            <w:pPr>
              <w:pStyle w:val="TableParagraph"/>
              <w:spacing w:before="9"/>
              <w:ind w:right="45"/>
              <w:jc w:val="right"/>
              <w:rPr>
                <w:sz w:val="12"/>
              </w:rPr>
            </w:pPr>
            <w:r>
              <w:rPr>
                <w:sz w:val="12"/>
              </w:rPr>
              <w:t>7.057.534</w:t>
            </w:r>
          </w:p>
        </w:tc>
        <w:tc>
          <w:tcPr>
            <w:tcW w:w="801" w:type="dxa"/>
          </w:tcPr>
          <w:p>
            <w:pPr>
              <w:pStyle w:val="TableParagraph"/>
              <w:spacing w:before="9"/>
              <w:ind w:left="84"/>
              <w:rPr>
                <w:sz w:val="12"/>
              </w:rPr>
            </w:pPr>
            <w:r>
              <w:rPr>
                <w:sz w:val="12"/>
              </w:rPr>
              <w:t>Oneri fiscali</w:t>
            </w:r>
          </w:p>
        </w:tc>
        <w:tc>
          <w:tcPr>
            <w:tcW w:w="2827" w:type="dxa"/>
          </w:tcPr>
          <w:p>
            <w:pPr>
              <w:pStyle w:val="TableParagraph"/>
              <w:spacing w:before="9"/>
              <w:ind w:left="100"/>
              <w:rPr>
                <w:sz w:val="12"/>
              </w:rPr>
            </w:pPr>
            <w:r>
              <w:rPr>
                <w:sz w:val="12"/>
              </w:rPr>
              <w:t>Oneri adesione consolidato fiscale</w:t>
            </w:r>
          </w:p>
        </w:tc>
      </w:tr>
      <w:tr>
        <w:trPr>
          <w:trHeight w:val="163" w:hRule="exact"/>
        </w:trPr>
        <w:tc>
          <w:tcPr>
            <w:tcW w:w="684" w:type="dxa"/>
          </w:tcPr>
          <w:p>
            <w:pPr/>
          </w:p>
        </w:tc>
        <w:tc>
          <w:tcPr>
            <w:tcW w:w="1662" w:type="dxa"/>
          </w:tcPr>
          <w:p>
            <w:pPr>
              <w:pStyle w:val="TableParagraph"/>
              <w:ind w:left="31"/>
              <w:rPr>
                <w:sz w:val="12"/>
              </w:rPr>
            </w:pPr>
            <w:r>
              <w:rPr>
                <w:sz w:val="12"/>
              </w:rPr>
              <w:t>Mossi &amp; Ghisolfi S.p.A.</w:t>
            </w:r>
          </w:p>
        </w:tc>
        <w:tc>
          <w:tcPr>
            <w:tcW w:w="735" w:type="dxa"/>
          </w:tcPr>
          <w:p>
            <w:pPr>
              <w:pStyle w:val="TableParagraph"/>
              <w:ind w:right="168"/>
              <w:jc w:val="right"/>
              <w:rPr>
                <w:sz w:val="12"/>
              </w:rPr>
            </w:pPr>
            <w:r>
              <w:rPr>
                <w:w w:val="102"/>
                <w:sz w:val="12"/>
              </w:rPr>
              <w:t>-</w:t>
            </w:r>
          </w:p>
        </w:tc>
        <w:tc>
          <w:tcPr>
            <w:tcW w:w="801" w:type="dxa"/>
          </w:tcPr>
          <w:p>
            <w:pPr>
              <w:pStyle w:val="TableParagraph"/>
              <w:ind w:left="84"/>
              <w:rPr>
                <w:sz w:val="12"/>
              </w:rPr>
            </w:pPr>
            <w:r>
              <w:rPr>
                <w:sz w:val="12"/>
              </w:rPr>
              <w:t>Finanziari</w:t>
            </w:r>
          </w:p>
        </w:tc>
        <w:tc>
          <w:tcPr>
            <w:tcW w:w="2827" w:type="dxa"/>
          </w:tcPr>
          <w:p>
            <w:pPr>
              <w:pStyle w:val="TableParagraph"/>
              <w:ind w:left="100"/>
              <w:rPr>
                <w:sz w:val="12"/>
              </w:rPr>
            </w:pPr>
            <w:r>
              <w:rPr>
                <w:sz w:val="12"/>
              </w:rPr>
              <w:t>Commissioni su fideiussioni</w:t>
            </w:r>
          </w:p>
        </w:tc>
      </w:tr>
      <w:tr>
        <w:trPr>
          <w:trHeight w:val="164" w:hRule="exact"/>
        </w:trPr>
        <w:tc>
          <w:tcPr>
            <w:tcW w:w="684" w:type="dxa"/>
          </w:tcPr>
          <w:p>
            <w:pPr/>
          </w:p>
        </w:tc>
        <w:tc>
          <w:tcPr>
            <w:tcW w:w="1662" w:type="dxa"/>
          </w:tcPr>
          <w:p>
            <w:pPr>
              <w:pStyle w:val="TableParagraph"/>
              <w:ind w:left="31"/>
              <w:rPr>
                <w:sz w:val="12"/>
              </w:rPr>
            </w:pPr>
            <w:r>
              <w:rPr>
                <w:sz w:val="12"/>
              </w:rPr>
              <w:t>C5 6</w:t>
            </w:r>
          </w:p>
        </w:tc>
        <w:tc>
          <w:tcPr>
            <w:tcW w:w="735" w:type="dxa"/>
          </w:tcPr>
          <w:p>
            <w:pPr>
              <w:pStyle w:val="TableParagraph"/>
              <w:ind w:right="45"/>
              <w:jc w:val="right"/>
              <w:rPr>
                <w:sz w:val="12"/>
              </w:rPr>
            </w:pPr>
            <w:r>
              <w:rPr>
                <w:sz w:val="12"/>
              </w:rPr>
              <w:t>700.000</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Servizi ricevuti</w:t>
            </w:r>
          </w:p>
        </w:tc>
      </w:tr>
      <w:tr>
        <w:trPr>
          <w:trHeight w:val="164" w:hRule="exact"/>
        </w:trPr>
        <w:tc>
          <w:tcPr>
            <w:tcW w:w="684" w:type="dxa"/>
          </w:tcPr>
          <w:p>
            <w:pPr/>
          </w:p>
        </w:tc>
        <w:tc>
          <w:tcPr>
            <w:tcW w:w="1662" w:type="dxa"/>
          </w:tcPr>
          <w:p>
            <w:pPr>
              <w:pStyle w:val="TableParagraph"/>
              <w:ind w:left="31"/>
              <w:rPr>
                <w:sz w:val="12"/>
              </w:rPr>
            </w:pPr>
            <w:r>
              <w:rPr>
                <w:sz w:val="12"/>
              </w:rPr>
              <w:t>Biochemtex Agro</w:t>
            </w:r>
          </w:p>
        </w:tc>
        <w:tc>
          <w:tcPr>
            <w:tcW w:w="735" w:type="dxa"/>
          </w:tcPr>
          <w:p>
            <w:pPr>
              <w:pStyle w:val="TableParagraph"/>
              <w:ind w:right="45"/>
              <w:jc w:val="right"/>
              <w:rPr>
                <w:sz w:val="12"/>
              </w:rPr>
            </w:pPr>
            <w:r>
              <w:rPr>
                <w:sz w:val="12"/>
              </w:rPr>
              <w:t>2.980</w:t>
            </w:r>
          </w:p>
        </w:tc>
        <w:tc>
          <w:tcPr>
            <w:tcW w:w="801" w:type="dxa"/>
          </w:tcPr>
          <w:p>
            <w:pPr>
              <w:pStyle w:val="TableParagraph"/>
              <w:ind w:left="84"/>
              <w:rPr>
                <w:sz w:val="12"/>
              </w:rPr>
            </w:pPr>
            <w:r>
              <w:rPr>
                <w:sz w:val="12"/>
              </w:rPr>
              <w:t>Commerciali</w:t>
            </w:r>
          </w:p>
        </w:tc>
        <w:tc>
          <w:tcPr>
            <w:tcW w:w="2827" w:type="dxa"/>
          </w:tcPr>
          <w:p>
            <w:pPr>
              <w:pStyle w:val="TableParagraph"/>
              <w:ind w:left="100"/>
              <w:rPr>
                <w:sz w:val="12"/>
              </w:rPr>
            </w:pPr>
            <w:r>
              <w:rPr>
                <w:sz w:val="12"/>
              </w:rPr>
              <w:t>Servizi ricevuti</w:t>
            </w:r>
          </w:p>
        </w:tc>
      </w:tr>
      <w:tr>
        <w:trPr>
          <w:trHeight w:val="163" w:hRule="exact"/>
        </w:trPr>
        <w:tc>
          <w:tcPr>
            <w:tcW w:w="684" w:type="dxa"/>
          </w:tcPr>
          <w:p>
            <w:pPr/>
          </w:p>
        </w:tc>
        <w:tc>
          <w:tcPr>
            <w:tcW w:w="1662" w:type="dxa"/>
          </w:tcPr>
          <w:p>
            <w:pPr>
              <w:pStyle w:val="TableParagraph"/>
              <w:ind w:left="31"/>
              <w:rPr>
                <w:sz w:val="12"/>
              </w:rPr>
            </w:pPr>
            <w:r>
              <w:rPr>
                <w:sz w:val="12"/>
              </w:rPr>
              <w:t>Beta Renewables</w:t>
            </w:r>
          </w:p>
        </w:tc>
        <w:tc>
          <w:tcPr>
            <w:tcW w:w="735" w:type="dxa"/>
          </w:tcPr>
          <w:p>
            <w:pPr>
              <w:pStyle w:val="TableParagraph"/>
              <w:ind w:right="167"/>
              <w:jc w:val="right"/>
              <w:rPr>
                <w:sz w:val="12"/>
              </w:rPr>
            </w:pPr>
            <w:r>
              <w:rPr>
                <w:w w:val="102"/>
                <w:sz w:val="12"/>
              </w:rPr>
              <w:t>-</w:t>
            </w:r>
          </w:p>
        </w:tc>
        <w:tc>
          <w:tcPr>
            <w:tcW w:w="801" w:type="dxa"/>
          </w:tcPr>
          <w:p>
            <w:pPr>
              <w:pStyle w:val="TableParagraph"/>
              <w:ind w:left="84"/>
              <w:rPr>
                <w:sz w:val="12"/>
              </w:rPr>
            </w:pPr>
            <w:r>
              <w:rPr>
                <w:sz w:val="12"/>
              </w:rPr>
              <w:t>Commerciali</w:t>
            </w:r>
          </w:p>
        </w:tc>
        <w:tc>
          <w:tcPr>
            <w:tcW w:w="2827" w:type="dxa"/>
          </w:tcPr>
          <w:p>
            <w:pPr>
              <w:pStyle w:val="TableParagraph"/>
              <w:ind w:left="100"/>
              <w:rPr>
                <w:sz w:val="12"/>
              </w:rPr>
            </w:pPr>
            <w:r>
              <w:rPr>
                <w:sz w:val="12"/>
              </w:rPr>
              <w:t>Servizi ricevuti</w:t>
            </w:r>
          </w:p>
        </w:tc>
      </w:tr>
      <w:tr>
        <w:trPr>
          <w:trHeight w:val="163" w:hRule="exact"/>
        </w:trPr>
        <w:tc>
          <w:tcPr>
            <w:tcW w:w="684" w:type="dxa"/>
          </w:tcPr>
          <w:p>
            <w:pPr/>
          </w:p>
        </w:tc>
        <w:tc>
          <w:tcPr>
            <w:tcW w:w="1662" w:type="dxa"/>
          </w:tcPr>
          <w:p>
            <w:pPr>
              <w:pStyle w:val="TableParagraph"/>
              <w:ind w:left="31"/>
              <w:rPr>
                <w:sz w:val="12"/>
              </w:rPr>
            </w:pPr>
            <w:r>
              <w:rPr>
                <w:sz w:val="12"/>
              </w:rPr>
              <w:t>Chemtex International Inc Usa</w:t>
            </w:r>
          </w:p>
        </w:tc>
        <w:tc>
          <w:tcPr>
            <w:tcW w:w="735" w:type="dxa"/>
          </w:tcPr>
          <w:p>
            <w:pPr>
              <w:pStyle w:val="TableParagraph"/>
              <w:ind w:right="45"/>
              <w:jc w:val="right"/>
              <w:rPr>
                <w:sz w:val="12"/>
              </w:rPr>
            </w:pPr>
            <w:r>
              <w:rPr>
                <w:sz w:val="12"/>
              </w:rPr>
              <w:t>267.088</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Servizi ricevuti</w:t>
            </w:r>
          </w:p>
        </w:tc>
      </w:tr>
      <w:tr>
        <w:trPr>
          <w:trHeight w:val="163" w:hRule="exact"/>
        </w:trPr>
        <w:tc>
          <w:tcPr>
            <w:tcW w:w="684" w:type="dxa"/>
          </w:tcPr>
          <w:p>
            <w:pPr/>
          </w:p>
        </w:tc>
        <w:tc>
          <w:tcPr>
            <w:tcW w:w="1662" w:type="dxa"/>
          </w:tcPr>
          <w:p>
            <w:pPr>
              <w:pStyle w:val="TableParagraph"/>
              <w:ind w:left="31"/>
              <w:rPr>
                <w:sz w:val="12"/>
              </w:rPr>
            </w:pPr>
            <w:r>
              <w:rPr>
                <w:sz w:val="12"/>
              </w:rPr>
              <w:t>M&amp;G Polimers Usa</w:t>
            </w:r>
          </w:p>
        </w:tc>
        <w:tc>
          <w:tcPr>
            <w:tcW w:w="735" w:type="dxa"/>
          </w:tcPr>
          <w:p>
            <w:pPr>
              <w:pStyle w:val="TableParagraph"/>
              <w:ind w:right="45"/>
              <w:jc w:val="right"/>
              <w:rPr>
                <w:sz w:val="12"/>
              </w:rPr>
            </w:pPr>
            <w:r>
              <w:rPr>
                <w:sz w:val="12"/>
              </w:rPr>
              <w:t>1.830</w:t>
            </w:r>
          </w:p>
        </w:tc>
        <w:tc>
          <w:tcPr>
            <w:tcW w:w="801" w:type="dxa"/>
          </w:tcPr>
          <w:p>
            <w:pPr>
              <w:pStyle w:val="TableParagraph"/>
              <w:ind w:left="84"/>
              <w:rPr>
                <w:sz w:val="12"/>
              </w:rPr>
            </w:pPr>
            <w:r>
              <w:rPr>
                <w:sz w:val="12"/>
              </w:rPr>
              <w:t>Commerciali</w:t>
            </w:r>
          </w:p>
        </w:tc>
        <w:tc>
          <w:tcPr>
            <w:tcW w:w="2827" w:type="dxa"/>
          </w:tcPr>
          <w:p>
            <w:pPr>
              <w:pStyle w:val="TableParagraph"/>
              <w:ind w:left="100"/>
              <w:rPr>
                <w:sz w:val="12"/>
              </w:rPr>
            </w:pPr>
            <w:r>
              <w:rPr>
                <w:sz w:val="12"/>
              </w:rPr>
              <w:t>Servizi ricevuti</w:t>
            </w:r>
          </w:p>
        </w:tc>
      </w:tr>
      <w:tr>
        <w:trPr>
          <w:trHeight w:val="163" w:hRule="exact"/>
        </w:trPr>
        <w:tc>
          <w:tcPr>
            <w:tcW w:w="684" w:type="dxa"/>
          </w:tcPr>
          <w:p>
            <w:pPr/>
          </w:p>
        </w:tc>
        <w:tc>
          <w:tcPr>
            <w:tcW w:w="1662" w:type="dxa"/>
          </w:tcPr>
          <w:p>
            <w:pPr>
              <w:pStyle w:val="TableParagraph"/>
              <w:ind w:left="31"/>
              <w:rPr>
                <w:sz w:val="12"/>
              </w:rPr>
            </w:pPr>
            <w:r>
              <w:rPr>
                <w:sz w:val="12"/>
              </w:rPr>
              <w:t>Chemtex India Bangalore</w:t>
            </w:r>
          </w:p>
        </w:tc>
        <w:tc>
          <w:tcPr>
            <w:tcW w:w="735" w:type="dxa"/>
          </w:tcPr>
          <w:p>
            <w:pPr>
              <w:pStyle w:val="TableParagraph"/>
              <w:ind w:right="45"/>
              <w:jc w:val="right"/>
              <w:rPr>
                <w:sz w:val="12"/>
              </w:rPr>
            </w:pPr>
            <w:r>
              <w:rPr>
                <w:sz w:val="12"/>
              </w:rPr>
              <w:t>726.350</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Servizi ricevuti</w:t>
            </w:r>
          </w:p>
        </w:tc>
      </w:tr>
      <w:tr>
        <w:trPr>
          <w:trHeight w:val="163" w:hRule="exact"/>
        </w:trPr>
        <w:tc>
          <w:tcPr>
            <w:tcW w:w="684" w:type="dxa"/>
          </w:tcPr>
          <w:p>
            <w:pPr/>
          </w:p>
        </w:tc>
        <w:tc>
          <w:tcPr>
            <w:tcW w:w="1662" w:type="dxa"/>
          </w:tcPr>
          <w:p>
            <w:pPr>
              <w:pStyle w:val="TableParagraph"/>
              <w:ind w:left="31"/>
              <w:rPr>
                <w:sz w:val="12"/>
              </w:rPr>
            </w:pPr>
            <w:r>
              <w:rPr>
                <w:sz w:val="12"/>
              </w:rPr>
              <w:t>M&amp;G Finanziaria</w:t>
            </w:r>
          </w:p>
        </w:tc>
        <w:tc>
          <w:tcPr>
            <w:tcW w:w="735" w:type="dxa"/>
          </w:tcPr>
          <w:p>
            <w:pPr>
              <w:pStyle w:val="TableParagraph"/>
              <w:ind w:right="45"/>
              <w:jc w:val="right"/>
              <w:rPr>
                <w:sz w:val="12"/>
              </w:rPr>
            </w:pPr>
            <w:r>
              <w:rPr>
                <w:sz w:val="12"/>
              </w:rPr>
              <w:t>345.000</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Servizi ricevuti</w:t>
            </w:r>
          </w:p>
        </w:tc>
      </w:tr>
      <w:tr>
        <w:trPr>
          <w:trHeight w:val="163" w:hRule="exact"/>
        </w:trPr>
        <w:tc>
          <w:tcPr>
            <w:tcW w:w="684" w:type="dxa"/>
          </w:tcPr>
          <w:p>
            <w:pPr/>
          </w:p>
        </w:tc>
        <w:tc>
          <w:tcPr>
            <w:tcW w:w="1662" w:type="dxa"/>
          </w:tcPr>
          <w:p>
            <w:pPr>
              <w:pStyle w:val="TableParagraph"/>
              <w:ind w:left="31"/>
              <w:rPr>
                <w:sz w:val="12"/>
              </w:rPr>
            </w:pPr>
            <w:r>
              <w:rPr>
                <w:sz w:val="12"/>
              </w:rPr>
              <w:t>M&amp;G Finanziaria</w:t>
            </w:r>
          </w:p>
        </w:tc>
        <w:tc>
          <w:tcPr>
            <w:tcW w:w="735" w:type="dxa"/>
          </w:tcPr>
          <w:p>
            <w:pPr>
              <w:pStyle w:val="TableParagraph"/>
              <w:ind w:right="45"/>
              <w:jc w:val="right"/>
              <w:rPr>
                <w:sz w:val="12"/>
              </w:rPr>
            </w:pPr>
            <w:r>
              <w:rPr>
                <w:sz w:val="12"/>
              </w:rPr>
              <w:t>175.019</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Affitto uffici e relativi servizi</w:t>
            </w:r>
          </w:p>
        </w:tc>
      </w:tr>
      <w:tr>
        <w:trPr>
          <w:trHeight w:val="164" w:hRule="exact"/>
        </w:trPr>
        <w:tc>
          <w:tcPr>
            <w:tcW w:w="684" w:type="dxa"/>
          </w:tcPr>
          <w:p>
            <w:pPr/>
          </w:p>
        </w:tc>
        <w:tc>
          <w:tcPr>
            <w:tcW w:w="1662" w:type="dxa"/>
          </w:tcPr>
          <w:p>
            <w:pPr>
              <w:pStyle w:val="TableParagraph"/>
              <w:ind w:left="31"/>
              <w:rPr>
                <w:sz w:val="12"/>
              </w:rPr>
            </w:pPr>
            <w:r>
              <w:rPr>
                <w:sz w:val="12"/>
              </w:rPr>
              <w:t>M&amp;G Finanziaria</w:t>
            </w:r>
          </w:p>
        </w:tc>
        <w:tc>
          <w:tcPr>
            <w:tcW w:w="735" w:type="dxa"/>
          </w:tcPr>
          <w:p>
            <w:pPr>
              <w:pStyle w:val="TableParagraph"/>
              <w:ind w:right="45"/>
              <w:jc w:val="right"/>
              <w:rPr>
                <w:sz w:val="12"/>
              </w:rPr>
            </w:pPr>
            <w:r>
              <w:rPr>
                <w:sz w:val="12"/>
              </w:rPr>
              <w:t>763.514</w:t>
            </w:r>
          </w:p>
        </w:tc>
        <w:tc>
          <w:tcPr>
            <w:tcW w:w="801" w:type="dxa"/>
          </w:tcPr>
          <w:p>
            <w:pPr>
              <w:pStyle w:val="TableParagraph"/>
              <w:ind w:left="84"/>
              <w:rPr>
                <w:sz w:val="12"/>
              </w:rPr>
            </w:pPr>
            <w:r>
              <w:rPr>
                <w:sz w:val="12"/>
              </w:rPr>
              <w:t>Finanziari</w:t>
            </w:r>
          </w:p>
        </w:tc>
        <w:tc>
          <w:tcPr>
            <w:tcW w:w="2827" w:type="dxa"/>
          </w:tcPr>
          <w:p>
            <w:pPr>
              <w:pStyle w:val="TableParagraph"/>
              <w:ind w:left="99"/>
              <w:rPr>
                <w:sz w:val="12"/>
              </w:rPr>
            </w:pPr>
            <w:r>
              <w:rPr>
                <w:sz w:val="12"/>
              </w:rPr>
              <w:t>Commissioni su fideius., interessi cash pooling e fee</w:t>
            </w:r>
          </w:p>
        </w:tc>
      </w:tr>
      <w:tr>
        <w:trPr>
          <w:trHeight w:val="182" w:hRule="exact"/>
        </w:trPr>
        <w:tc>
          <w:tcPr>
            <w:tcW w:w="684" w:type="dxa"/>
            <w:tcBorders>
              <w:bottom w:val="double" w:sz="4" w:space="0" w:color="000000"/>
            </w:tcBorders>
          </w:tcPr>
          <w:p>
            <w:pPr/>
          </w:p>
        </w:tc>
        <w:tc>
          <w:tcPr>
            <w:tcW w:w="1662" w:type="dxa"/>
            <w:tcBorders>
              <w:bottom w:val="double" w:sz="4" w:space="0" w:color="000000"/>
            </w:tcBorders>
          </w:tcPr>
          <w:p>
            <w:pPr>
              <w:pStyle w:val="TableParagraph"/>
              <w:ind w:left="31"/>
              <w:rPr>
                <w:sz w:val="12"/>
              </w:rPr>
            </w:pPr>
            <w:r>
              <w:rPr>
                <w:sz w:val="12"/>
              </w:rPr>
              <w:t>Chemtex Shanghai Cina</w:t>
            </w:r>
          </w:p>
        </w:tc>
        <w:tc>
          <w:tcPr>
            <w:tcW w:w="735" w:type="dxa"/>
            <w:tcBorders>
              <w:bottom w:val="double" w:sz="4" w:space="0" w:color="000000"/>
            </w:tcBorders>
          </w:tcPr>
          <w:p>
            <w:pPr>
              <w:pStyle w:val="TableParagraph"/>
              <w:ind w:right="167"/>
              <w:jc w:val="right"/>
              <w:rPr>
                <w:sz w:val="12"/>
              </w:rPr>
            </w:pPr>
            <w:r>
              <w:rPr>
                <w:w w:val="102"/>
                <w:sz w:val="12"/>
              </w:rPr>
              <w:t>-</w:t>
            </w:r>
          </w:p>
        </w:tc>
        <w:tc>
          <w:tcPr>
            <w:tcW w:w="801" w:type="dxa"/>
            <w:tcBorders>
              <w:bottom w:val="double" w:sz="4" w:space="0" w:color="000000"/>
            </w:tcBorders>
          </w:tcPr>
          <w:p>
            <w:pPr>
              <w:pStyle w:val="TableParagraph"/>
              <w:ind w:left="84"/>
              <w:rPr>
                <w:sz w:val="12"/>
              </w:rPr>
            </w:pPr>
            <w:r>
              <w:rPr>
                <w:sz w:val="12"/>
              </w:rPr>
              <w:t>Commerciali</w:t>
            </w:r>
          </w:p>
        </w:tc>
        <w:tc>
          <w:tcPr>
            <w:tcW w:w="2827" w:type="dxa"/>
            <w:tcBorders>
              <w:bottom w:val="double" w:sz="4" w:space="0" w:color="000000"/>
            </w:tcBorders>
          </w:tcPr>
          <w:p>
            <w:pPr>
              <w:pStyle w:val="TableParagraph"/>
              <w:ind w:left="100"/>
              <w:rPr>
                <w:sz w:val="12"/>
              </w:rPr>
            </w:pPr>
            <w:r>
              <w:rPr>
                <w:sz w:val="12"/>
              </w:rPr>
              <w:t>Servizi ricevuti</w:t>
            </w:r>
          </w:p>
        </w:tc>
      </w:tr>
      <w:tr>
        <w:trPr>
          <w:trHeight w:val="167" w:hRule="exact"/>
        </w:trPr>
        <w:tc>
          <w:tcPr>
            <w:tcW w:w="684" w:type="dxa"/>
            <w:tcBorders>
              <w:top w:val="double" w:sz="4" w:space="0" w:color="000000"/>
            </w:tcBorders>
          </w:tcPr>
          <w:p>
            <w:pPr/>
          </w:p>
        </w:tc>
        <w:tc>
          <w:tcPr>
            <w:tcW w:w="1662" w:type="dxa"/>
            <w:tcBorders>
              <w:top w:val="double" w:sz="4" w:space="0" w:color="000000"/>
            </w:tcBorders>
          </w:tcPr>
          <w:p>
            <w:pPr>
              <w:pStyle w:val="TableParagraph"/>
              <w:spacing w:line="138" w:lineRule="exact" w:before="0"/>
              <w:ind w:left="31"/>
              <w:rPr>
                <w:b/>
                <w:sz w:val="12"/>
              </w:rPr>
            </w:pPr>
            <w:r>
              <w:rPr>
                <w:b/>
                <w:sz w:val="12"/>
              </w:rPr>
              <w:t>Ricavi</w:t>
            </w:r>
          </w:p>
        </w:tc>
        <w:tc>
          <w:tcPr>
            <w:tcW w:w="735" w:type="dxa"/>
            <w:tcBorders>
              <w:top w:val="double" w:sz="4" w:space="0" w:color="000000"/>
            </w:tcBorders>
          </w:tcPr>
          <w:p>
            <w:pPr>
              <w:pStyle w:val="TableParagraph"/>
              <w:spacing w:line="138" w:lineRule="exact" w:before="0"/>
              <w:ind w:right="45"/>
              <w:jc w:val="right"/>
              <w:rPr>
                <w:b/>
                <w:sz w:val="12"/>
              </w:rPr>
            </w:pPr>
            <w:r>
              <w:rPr>
                <w:b/>
                <w:sz w:val="12"/>
              </w:rPr>
              <w:t>20.592.605</w:t>
            </w:r>
          </w:p>
        </w:tc>
        <w:tc>
          <w:tcPr>
            <w:tcW w:w="801" w:type="dxa"/>
            <w:tcBorders>
              <w:top w:val="double" w:sz="4" w:space="0" w:color="000000"/>
            </w:tcBorders>
          </w:tcPr>
          <w:p>
            <w:pPr/>
          </w:p>
        </w:tc>
        <w:tc>
          <w:tcPr>
            <w:tcW w:w="2827" w:type="dxa"/>
            <w:tcBorders>
              <w:top w:val="double" w:sz="4" w:space="0" w:color="000000"/>
            </w:tcBorders>
          </w:tcPr>
          <w:p>
            <w:pPr/>
          </w:p>
        </w:tc>
      </w:tr>
      <w:tr>
        <w:trPr>
          <w:trHeight w:val="162" w:hRule="exact"/>
        </w:trPr>
        <w:tc>
          <w:tcPr>
            <w:tcW w:w="684" w:type="dxa"/>
          </w:tcPr>
          <w:p>
            <w:pPr/>
          </w:p>
        </w:tc>
        <w:tc>
          <w:tcPr>
            <w:tcW w:w="1662" w:type="dxa"/>
          </w:tcPr>
          <w:p>
            <w:pPr>
              <w:pStyle w:val="TableParagraph"/>
              <w:spacing w:before="9"/>
              <w:ind w:left="31"/>
              <w:rPr>
                <w:sz w:val="12"/>
              </w:rPr>
            </w:pPr>
            <w:r>
              <w:rPr>
                <w:sz w:val="12"/>
              </w:rPr>
              <w:t>M&amp;G International Lux</w:t>
            </w:r>
          </w:p>
        </w:tc>
        <w:tc>
          <w:tcPr>
            <w:tcW w:w="735" w:type="dxa"/>
          </w:tcPr>
          <w:p>
            <w:pPr>
              <w:pStyle w:val="TableParagraph"/>
              <w:spacing w:before="9"/>
              <w:ind w:right="45"/>
              <w:jc w:val="right"/>
              <w:rPr>
                <w:sz w:val="12"/>
              </w:rPr>
            </w:pPr>
            <w:r>
              <w:rPr>
                <w:sz w:val="12"/>
              </w:rPr>
              <w:t>88.472</w:t>
            </w:r>
          </w:p>
        </w:tc>
        <w:tc>
          <w:tcPr>
            <w:tcW w:w="801" w:type="dxa"/>
          </w:tcPr>
          <w:p>
            <w:pPr>
              <w:pStyle w:val="TableParagraph"/>
              <w:spacing w:before="9"/>
              <w:ind w:left="84"/>
              <w:rPr>
                <w:sz w:val="12"/>
              </w:rPr>
            </w:pPr>
            <w:r>
              <w:rPr>
                <w:sz w:val="12"/>
              </w:rPr>
              <w:t>Commerciali</w:t>
            </w:r>
          </w:p>
        </w:tc>
        <w:tc>
          <w:tcPr>
            <w:tcW w:w="2827" w:type="dxa"/>
          </w:tcPr>
          <w:p>
            <w:pPr>
              <w:pStyle w:val="TableParagraph"/>
              <w:spacing w:before="9"/>
              <w:ind w:left="101"/>
              <w:rPr>
                <w:sz w:val="12"/>
              </w:rPr>
            </w:pPr>
            <w:r>
              <w:rPr>
                <w:sz w:val="12"/>
              </w:rPr>
              <w:t>Servizi resi</w:t>
            </w:r>
          </w:p>
        </w:tc>
      </w:tr>
      <w:tr>
        <w:trPr>
          <w:trHeight w:val="163" w:hRule="exact"/>
        </w:trPr>
        <w:tc>
          <w:tcPr>
            <w:tcW w:w="684" w:type="dxa"/>
          </w:tcPr>
          <w:p>
            <w:pPr/>
          </w:p>
        </w:tc>
        <w:tc>
          <w:tcPr>
            <w:tcW w:w="1662" w:type="dxa"/>
          </w:tcPr>
          <w:p>
            <w:pPr>
              <w:pStyle w:val="TableParagraph"/>
              <w:ind w:left="31"/>
              <w:rPr>
                <w:sz w:val="12"/>
              </w:rPr>
            </w:pPr>
            <w:r>
              <w:rPr>
                <w:sz w:val="12"/>
              </w:rPr>
              <w:t>M&amp;G Polymers Usa</w:t>
            </w:r>
          </w:p>
        </w:tc>
        <w:tc>
          <w:tcPr>
            <w:tcW w:w="735" w:type="dxa"/>
          </w:tcPr>
          <w:p>
            <w:pPr>
              <w:pStyle w:val="TableParagraph"/>
              <w:ind w:right="45"/>
              <w:jc w:val="right"/>
              <w:rPr>
                <w:sz w:val="12"/>
              </w:rPr>
            </w:pPr>
            <w:r>
              <w:rPr>
                <w:sz w:val="12"/>
              </w:rPr>
              <w:t>64.678</w:t>
            </w:r>
          </w:p>
        </w:tc>
        <w:tc>
          <w:tcPr>
            <w:tcW w:w="801" w:type="dxa"/>
          </w:tcPr>
          <w:p>
            <w:pPr>
              <w:pStyle w:val="TableParagraph"/>
              <w:ind w:left="84"/>
              <w:rPr>
                <w:sz w:val="12"/>
              </w:rPr>
            </w:pPr>
            <w:r>
              <w:rPr>
                <w:sz w:val="12"/>
              </w:rPr>
              <w:t>Commerciali</w:t>
            </w:r>
          </w:p>
        </w:tc>
        <w:tc>
          <w:tcPr>
            <w:tcW w:w="2827" w:type="dxa"/>
          </w:tcPr>
          <w:p>
            <w:pPr>
              <w:pStyle w:val="TableParagraph"/>
              <w:ind w:left="100"/>
              <w:rPr>
                <w:sz w:val="12"/>
              </w:rPr>
            </w:pPr>
            <w:r>
              <w:rPr>
                <w:sz w:val="12"/>
              </w:rPr>
              <w:t>Servizi</w:t>
            </w:r>
          </w:p>
        </w:tc>
      </w:tr>
      <w:tr>
        <w:trPr>
          <w:trHeight w:val="163" w:hRule="exact"/>
        </w:trPr>
        <w:tc>
          <w:tcPr>
            <w:tcW w:w="684" w:type="dxa"/>
          </w:tcPr>
          <w:p>
            <w:pPr/>
          </w:p>
        </w:tc>
        <w:tc>
          <w:tcPr>
            <w:tcW w:w="1662" w:type="dxa"/>
          </w:tcPr>
          <w:p>
            <w:pPr>
              <w:pStyle w:val="TableParagraph"/>
              <w:ind w:left="31"/>
              <w:rPr>
                <w:sz w:val="12"/>
              </w:rPr>
            </w:pPr>
            <w:r>
              <w:rPr>
                <w:sz w:val="12"/>
              </w:rPr>
              <w:t>Carolina Cellulosic Biofuels</w:t>
            </w:r>
          </w:p>
        </w:tc>
        <w:tc>
          <w:tcPr>
            <w:tcW w:w="735" w:type="dxa"/>
          </w:tcPr>
          <w:p>
            <w:pPr>
              <w:pStyle w:val="TableParagraph"/>
              <w:ind w:right="168"/>
              <w:jc w:val="right"/>
              <w:rPr>
                <w:sz w:val="12"/>
              </w:rPr>
            </w:pPr>
            <w:r>
              <w:rPr>
                <w:w w:val="102"/>
                <w:sz w:val="12"/>
              </w:rPr>
              <w:t>-</w:t>
            </w:r>
          </w:p>
        </w:tc>
        <w:tc>
          <w:tcPr>
            <w:tcW w:w="801" w:type="dxa"/>
          </w:tcPr>
          <w:p>
            <w:pPr>
              <w:pStyle w:val="TableParagraph"/>
              <w:ind w:left="84"/>
              <w:rPr>
                <w:sz w:val="12"/>
              </w:rPr>
            </w:pPr>
            <w:r>
              <w:rPr>
                <w:sz w:val="12"/>
              </w:rPr>
              <w:t>Commerciali</w:t>
            </w:r>
          </w:p>
        </w:tc>
        <w:tc>
          <w:tcPr>
            <w:tcW w:w="2827" w:type="dxa"/>
          </w:tcPr>
          <w:p>
            <w:pPr>
              <w:pStyle w:val="TableParagraph"/>
              <w:ind w:left="100"/>
              <w:rPr>
                <w:sz w:val="12"/>
              </w:rPr>
            </w:pPr>
            <w:r>
              <w:rPr>
                <w:sz w:val="12"/>
              </w:rPr>
              <w:t>Servizi resi</w:t>
            </w:r>
          </w:p>
        </w:tc>
      </w:tr>
      <w:tr>
        <w:trPr>
          <w:trHeight w:val="163" w:hRule="exact"/>
        </w:trPr>
        <w:tc>
          <w:tcPr>
            <w:tcW w:w="684" w:type="dxa"/>
          </w:tcPr>
          <w:p>
            <w:pPr/>
          </w:p>
        </w:tc>
        <w:tc>
          <w:tcPr>
            <w:tcW w:w="1662" w:type="dxa"/>
          </w:tcPr>
          <w:p>
            <w:pPr>
              <w:pStyle w:val="TableParagraph"/>
              <w:ind w:left="31"/>
              <w:rPr>
                <w:sz w:val="12"/>
              </w:rPr>
            </w:pPr>
            <w:r>
              <w:rPr>
                <w:sz w:val="12"/>
              </w:rPr>
              <w:t>Chemtex Shanghai Cina</w:t>
            </w:r>
          </w:p>
        </w:tc>
        <w:tc>
          <w:tcPr>
            <w:tcW w:w="735" w:type="dxa"/>
          </w:tcPr>
          <w:p>
            <w:pPr>
              <w:pStyle w:val="TableParagraph"/>
              <w:ind w:right="45"/>
              <w:jc w:val="right"/>
              <w:rPr>
                <w:sz w:val="12"/>
              </w:rPr>
            </w:pPr>
            <w:r>
              <w:rPr>
                <w:sz w:val="12"/>
              </w:rPr>
              <w:t>922.850</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Servizi resi</w:t>
            </w:r>
          </w:p>
        </w:tc>
      </w:tr>
      <w:tr>
        <w:trPr>
          <w:trHeight w:val="164" w:hRule="exact"/>
        </w:trPr>
        <w:tc>
          <w:tcPr>
            <w:tcW w:w="684" w:type="dxa"/>
          </w:tcPr>
          <w:p>
            <w:pPr/>
          </w:p>
        </w:tc>
        <w:tc>
          <w:tcPr>
            <w:tcW w:w="1662" w:type="dxa"/>
          </w:tcPr>
          <w:p>
            <w:pPr>
              <w:pStyle w:val="TableParagraph"/>
              <w:ind w:left="31"/>
              <w:rPr>
                <w:sz w:val="12"/>
              </w:rPr>
            </w:pPr>
            <w:r>
              <w:rPr>
                <w:sz w:val="12"/>
              </w:rPr>
              <w:t>M&amp;G Finanziaria</w:t>
            </w:r>
          </w:p>
        </w:tc>
        <w:tc>
          <w:tcPr>
            <w:tcW w:w="735" w:type="dxa"/>
          </w:tcPr>
          <w:p>
            <w:pPr>
              <w:pStyle w:val="TableParagraph"/>
              <w:ind w:right="45"/>
              <w:jc w:val="right"/>
              <w:rPr>
                <w:sz w:val="12"/>
              </w:rPr>
            </w:pPr>
            <w:r>
              <w:rPr>
                <w:sz w:val="12"/>
              </w:rPr>
              <w:t>4.671.248</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Servizi resi</w:t>
            </w:r>
          </w:p>
        </w:tc>
      </w:tr>
      <w:tr>
        <w:trPr>
          <w:trHeight w:val="164" w:hRule="exact"/>
        </w:trPr>
        <w:tc>
          <w:tcPr>
            <w:tcW w:w="684" w:type="dxa"/>
          </w:tcPr>
          <w:p>
            <w:pPr/>
          </w:p>
        </w:tc>
        <w:tc>
          <w:tcPr>
            <w:tcW w:w="1662" w:type="dxa"/>
          </w:tcPr>
          <w:p>
            <w:pPr>
              <w:pStyle w:val="TableParagraph"/>
              <w:ind w:left="31"/>
              <w:rPr>
                <w:sz w:val="12"/>
              </w:rPr>
            </w:pPr>
            <w:r>
              <w:rPr>
                <w:sz w:val="12"/>
              </w:rPr>
              <w:t>M&amp;G Finanziaria</w:t>
            </w:r>
          </w:p>
        </w:tc>
        <w:tc>
          <w:tcPr>
            <w:tcW w:w="735" w:type="dxa"/>
          </w:tcPr>
          <w:p>
            <w:pPr>
              <w:pStyle w:val="TableParagraph"/>
              <w:ind w:right="45"/>
              <w:jc w:val="right"/>
              <w:rPr>
                <w:sz w:val="12"/>
              </w:rPr>
            </w:pPr>
            <w:r>
              <w:rPr>
                <w:sz w:val="12"/>
              </w:rPr>
              <w:t>489.647</w:t>
            </w:r>
          </w:p>
        </w:tc>
        <w:tc>
          <w:tcPr>
            <w:tcW w:w="801" w:type="dxa"/>
          </w:tcPr>
          <w:p>
            <w:pPr>
              <w:pStyle w:val="TableParagraph"/>
              <w:ind w:left="84"/>
              <w:rPr>
                <w:sz w:val="12"/>
              </w:rPr>
            </w:pPr>
            <w:r>
              <w:rPr>
                <w:sz w:val="12"/>
              </w:rPr>
              <w:t>Finanziari</w:t>
            </w:r>
          </w:p>
        </w:tc>
        <w:tc>
          <w:tcPr>
            <w:tcW w:w="2827" w:type="dxa"/>
          </w:tcPr>
          <w:p>
            <w:pPr>
              <w:pStyle w:val="TableParagraph"/>
              <w:ind w:left="101"/>
              <w:rPr>
                <w:sz w:val="12"/>
              </w:rPr>
            </w:pPr>
            <w:r>
              <w:rPr>
                <w:sz w:val="12"/>
              </w:rPr>
              <w:t>Interessi</w:t>
            </w:r>
          </w:p>
        </w:tc>
      </w:tr>
      <w:tr>
        <w:trPr>
          <w:trHeight w:val="163" w:hRule="exact"/>
        </w:trPr>
        <w:tc>
          <w:tcPr>
            <w:tcW w:w="684" w:type="dxa"/>
          </w:tcPr>
          <w:p>
            <w:pPr/>
          </w:p>
        </w:tc>
        <w:tc>
          <w:tcPr>
            <w:tcW w:w="1662" w:type="dxa"/>
          </w:tcPr>
          <w:p>
            <w:pPr>
              <w:pStyle w:val="TableParagraph"/>
              <w:ind w:left="31"/>
              <w:rPr>
                <w:sz w:val="12"/>
              </w:rPr>
            </w:pPr>
            <w:r>
              <w:rPr>
                <w:sz w:val="12"/>
              </w:rPr>
              <w:t>Biochemtex Agro</w:t>
            </w:r>
          </w:p>
        </w:tc>
        <w:tc>
          <w:tcPr>
            <w:tcW w:w="735" w:type="dxa"/>
          </w:tcPr>
          <w:p>
            <w:pPr>
              <w:pStyle w:val="TableParagraph"/>
              <w:ind w:right="168"/>
              <w:jc w:val="right"/>
              <w:rPr>
                <w:sz w:val="12"/>
              </w:rPr>
            </w:pPr>
            <w:r>
              <w:rPr>
                <w:w w:val="102"/>
                <w:sz w:val="12"/>
              </w:rPr>
              <w:t>-</w:t>
            </w:r>
          </w:p>
        </w:tc>
        <w:tc>
          <w:tcPr>
            <w:tcW w:w="801" w:type="dxa"/>
          </w:tcPr>
          <w:p>
            <w:pPr>
              <w:pStyle w:val="TableParagraph"/>
              <w:ind w:left="84"/>
              <w:rPr>
                <w:sz w:val="12"/>
              </w:rPr>
            </w:pPr>
            <w:r>
              <w:rPr>
                <w:sz w:val="12"/>
              </w:rPr>
              <w:t>Finanziari</w:t>
            </w:r>
          </w:p>
        </w:tc>
        <w:tc>
          <w:tcPr>
            <w:tcW w:w="2827" w:type="dxa"/>
          </w:tcPr>
          <w:p>
            <w:pPr>
              <w:pStyle w:val="TableParagraph"/>
              <w:ind w:left="100"/>
              <w:rPr>
                <w:sz w:val="12"/>
              </w:rPr>
            </w:pPr>
            <w:r>
              <w:rPr>
                <w:sz w:val="12"/>
              </w:rPr>
              <w:t>Interessi</w:t>
            </w:r>
          </w:p>
        </w:tc>
      </w:tr>
      <w:tr>
        <w:trPr>
          <w:trHeight w:val="163" w:hRule="exact"/>
        </w:trPr>
        <w:tc>
          <w:tcPr>
            <w:tcW w:w="684" w:type="dxa"/>
          </w:tcPr>
          <w:p>
            <w:pPr/>
          </w:p>
        </w:tc>
        <w:tc>
          <w:tcPr>
            <w:tcW w:w="1662" w:type="dxa"/>
          </w:tcPr>
          <w:p>
            <w:pPr>
              <w:pStyle w:val="TableParagraph"/>
              <w:ind w:left="31"/>
              <w:rPr>
                <w:sz w:val="12"/>
              </w:rPr>
            </w:pPr>
            <w:r>
              <w:rPr>
                <w:sz w:val="12"/>
              </w:rPr>
              <w:t>Biochemtex Agro</w:t>
            </w:r>
          </w:p>
        </w:tc>
        <w:tc>
          <w:tcPr>
            <w:tcW w:w="735" w:type="dxa"/>
          </w:tcPr>
          <w:p>
            <w:pPr>
              <w:pStyle w:val="TableParagraph"/>
              <w:ind w:right="168"/>
              <w:jc w:val="right"/>
              <w:rPr>
                <w:sz w:val="12"/>
              </w:rPr>
            </w:pPr>
            <w:r>
              <w:rPr>
                <w:w w:val="102"/>
                <w:sz w:val="12"/>
              </w:rPr>
              <w:t>-</w:t>
            </w:r>
          </w:p>
        </w:tc>
        <w:tc>
          <w:tcPr>
            <w:tcW w:w="801" w:type="dxa"/>
          </w:tcPr>
          <w:p>
            <w:pPr>
              <w:pStyle w:val="TableParagraph"/>
              <w:ind w:left="84"/>
              <w:rPr>
                <w:sz w:val="12"/>
              </w:rPr>
            </w:pPr>
            <w:r>
              <w:rPr>
                <w:sz w:val="12"/>
              </w:rPr>
              <w:t>Commerciali</w:t>
            </w:r>
          </w:p>
        </w:tc>
        <w:tc>
          <w:tcPr>
            <w:tcW w:w="2827" w:type="dxa"/>
          </w:tcPr>
          <w:p>
            <w:pPr>
              <w:pStyle w:val="TableParagraph"/>
              <w:ind w:left="100"/>
              <w:rPr>
                <w:sz w:val="12"/>
              </w:rPr>
            </w:pPr>
            <w:r>
              <w:rPr>
                <w:sz w:val="12"/>
              </w:rPr>
              <w:t>Servizi</w:t>
            </w:r>
          </w:p>
        </w:tc>
      </w:tr>
      <w:tr>
        <w:trPr>
          <w:trHeight w:val="163" w:hRule="exact"/>
        </w:trPr>
        <w:tc>
          <w:tcPr>
            <w:tcW w:w="684" w:type="dxa"/>
          </w:tcPr>
          <w:p>
            <w:pPr/>
          </w:p>
        </w:tc>
        <w:tc>
          <w:tcPr>
            <w:tcW w:w="1662" w:type="dxa"/>
          </w:tcPr>
          <w:p>
            <w:pPr>
              <w:pStyle w:val="TableParagraph"/>
              <w:spacing w:line="135" w:lineRule="exact" w:before="0"/>
              <w:ind w:left="31"/>
              <w:rPr>
                <w:sz w:val="12"/>
              </w:rPr>
            </w:pPr>
            <w:r>
              <w:rPr>
                <w:sz w:val="12"/>
              </w:rPr>
              <w:t>Italian Bio Products</w:t>
            </w:r>
          </w:p>
        </w:tc>
        <w:tc>
          <w:tcPr>
            <w:tcW w:w="735" w:type="dxa"/>
          </w:tcPr>
          <w:p>
            <w:pPr>
              <w:pStyle w:val="TableParagraph"/>
              <w:spacing w:line="135" w:lineRule="exact" w:before="0"/>
              <w:ind w:right="45"/>
              <w:jc w:val="right"/>
              <w:rPr>
                <w:sz w:val="12"/>
              </w:rPr>
            </w:pPr>
            <w:r>
              <w:rPr>
                <w:sz w:val="12"/>
              </w:rPr>
              <w:t>5.577.093</w:t>
            </w:r>
          </w:p>
        </w:tc>
        <w:tc>
          <w:tcPr>
            <w:tcW w:w="801" w:type="dxa"/>
          </w:tcPr>
          <w:p>
            <w:pPr>
              <w:pStyle w:val="TableParagraph"/>
              <w:spacing w:line="135" w:lineRule="exact" w:before="0"/>
              <w:ind w:left="84"/>
              <w:rPr>
                <w:sz w:val="12"/>
              </w:rPr>
            </w:pPr>
            <w:r>
              <w:rPr>
                <w:sz w:val="12"/>
              </w:rPr>
              <w:t>Commerciali</w:t>
            </w:r>
          </w:p>
        </w:tc>
        <w:tc>
          <w:tcPr>
            <w:tcW w:w="2827" w:type="dxa"/>
          </w:tcPr>
          <w:p>
            <w:pPr>
              <w:pStyle w:val="TableParagraph"/>
              <w:spacing w:line="135" w:lineRule="exact" w:before="0"/>
              <w:ind w:left="101"/>
              <w:rPr>
                <w:sz w:val="12"/>
              </w:rPr>
            </w:pPr>
            <w:r>
              <w:rPr>
                <w:sz w:val="12"/>
              </w:rPr>
              <w:t>Servizi resi</w:t>
            </w:r>
          </w:p>
        </w:tc>
      </w:tr>
      <w:tr>
        <w:trPr>
          <w:trHeight w:val="163" w:hRule="exact"/>
        </w:trPr>
        <w:tc>
          <w:tcPr>
            <w:tcW w:w="684" w:type="dxa"/>
          </w:tcPr>
          <w:p>
            <w:pPr/>
          </w:p>
        </w:tc>
        <w:tc>
          <w:tcPr>
            <w:tcW w:w="1662" w:type="dxa"/>
          </w:tcPr>
          <w:p>
            <w:pPr>
              <w:pStyle w:val="TableParagraph"/>
              <w:ind w:left="31"/>
              <w:rPr>
                <w:sz w:val="12"/>
              </w:rPr>
            </w:pPr>
            <w:r>
              <w:rPr>
                <w:sz w:val="12"/>
              </w:rPr>
              <w:t>Italian Bio Products</w:t>
            </w:r>
          </w:p>
        </w:tc>
        <w:tc>
          <w:tcPr>
            <w:tcW w:w="735" w:type="dxa"/>
          </w:tcPr>
          <w:p>
            <w:pPr>
              <w:pStyle w:val="TableParagraph"/>
              <w:ind w:right="45"/>
              <w:jc w:val="right"/>
              <w:rPr>
                <w:sz w:val="12"/>
              </w:rPr>
            </w:pPr>
            <w:r>
              <w:rPr>
                <w:sz w:val="12"/>
              </w:rPr>
              <w:t>413.648</w:t>
            </w:r>
          </w:p>
        </w:tc>
        <w:tc>
          <w:tcPr>
            <w:tcW w:w="801" w:type="dxa"/>
          </w:tcPr>
          <w:p>
            <w:pPr>
              <w:pStyle w:val="TableParagraph"/>
              <w:ind w:left="84"/>
              <w:rPr>
                <w:sz w:val="12"/>
              </w:rPr>
            </w:pPr>
            <w:r>
              <w:rPr>
                <w:sz w:val="12"/>
              </w:rPr>
              <w:t>Finanziari</w:t>
            </w:r>
          </w:p>
        </w:tc>
        <w:tc>
          <w:tcPr>
            <w:tcW w:w="2827" w:type="dxa"/>
          </w:tcPr>
          <w:p>
            <w:pPr>
              <w:pStyle w:val="TableParagraph"/>
              <w:ind w:left="101"/>
              <w:rPr>
                <w:sz w:val="12"/>
              </w:rPr>
            </w:pPr>
            <w:r>
              <w:rPr>
                <w:sz w:val="12"/>
              </w:rPr>
              <w:t>Interessi</w:t>
            </w:r>
          </w:p>
        </w:tc>
      </w:tr>
      <w:tr>
        <w:trPr>
          <w:trHeight w:val="163" w:hRule="exact"/>
        </w:trPr>
        <w:tc>
          <w:tcPr>
            <w:tcW w:w="684" w:type="dxa"/>
          </w:tcPr>
          <w:p>
            <w:pPr/>
          </w:p>
        </w:tc>
        <w:tc>
          <w:tcPr>
            <w:tcW w:w="1662" w:type="dxa"/>
          </w:tcPr>
          <w:p>
            <w:pPr>
              <w:pStyle w:val="TableParagraph"/>
              <w:ind w:left="31"/>
              <w:rPr>
                <w:sz w:val="12"/>
              </w:rPr>
            </w:pPr>
            <w:r>
              <w:rPr>
                <w:sz w:val="12"/>
              </w:rPr>
              <w:t>IBP Energia</w:t>
            </w:r>
          </w:p>
        </w:tc>
        <w:tc>
          <w:tcPr>
            <w:tcW w:w="735" w:type="dxa"/>
          </w:tcPr>
          <w:p>
            <w:pPr>
              <w:pStyle w:val="TableParagraph"/>
              <w:ind w:right="45"/>
              <w:jc w:val="right"/>
              <w:rPr>
                <w:sz w:val="12"/>
              </w:rPr>
            </w:pPr>
            <w:r>
              <w:rPr>
                <w:sz w:val="12"/>
              </w:rPr>
              <w:t>8.551</w:t>
            </w:r>
          </w:p>
        </w:tc>
        <w:tc>
          <w:tcPr>
            <w:tcW w:w="801" w:type="dxa"/>
          </w:tcPr>
          <w:p>
            <w:pPr>
              <w:pStyle w:val="TableParagraph"/>
              <w:ind w:left="84"/>
              <w:rPr>
                <w:sz w:val="12"/>
              </w:rPr>
            </w:pPr>
            <w:r>
              <w:rPr>
                <w:sz w:val="12"/>
              </w:rPr>
              <w:t>Finanziari</w:t>
            </w:r>
          </w:p>
        </w:tc>
        <w:tc>
          <w:tcPr>
            <w:tcW w:w="2827" w:type="dxa"/>
          </w:tcPr>
          <w:p>
            <w:pPr>
              <w:pStyle w:val="TableParagraph"/>
              <w:ind w:left="100"/>
              <w:rPr>
                <w:sz w:val="12"/>
              </w:rPr>
            </w:pPr>
            <w:r>
              <w:rPr>
                <w:sz w:val="12"/>
              </w:rPr>
              <w:t>Interessi</w:t>
            </w:r>
          </w:p>
        </w:tc>
      </w:tr>
      <w:tr>
        <w:trPr>
          <w:trHeight w:val="163" w:hRule="exact"/>
        </w:trPr>
        <w:tc>
          <w:tcPr>
            <w:tcW w:w="684" w:type="dxa"/>
          </w:tcPr>
          <w:p>
            <w:pPr/>
          </w:p>
        </w:tc>
        <w:tc>
          <w:tcPr>
            <w:tcW w:w="1662" w:type="dxa"/>
          </w:tcPr>
          <w:p>
            <w:pPr>
              <w:pStyle w:val="TableParagraph"/>
              <w:ind w:left="31"/>
              <w:rPr>
                <w:sz w:val="12"/>
              </w:rPr>
            </w:pPr>
            <w:r>
              <w:rPr>
                <w:sz w:val="12"/>
              </w:rPr>
              <w:t>IBP Energia</w:t>
            </w:r>
          </w:p>
        </w:tc>
        <w:tc>
          <w:tcPr>
            <w:tcW w:w="735" w:type="dxa"/>
          </w:tcPr>
          <w:p>
            <w:pPr>
              <w:pStyle w:val="TableParagraph"/>
              <w:ind w:right="45"/>
              <w:jc w:val="right"/>
              <w:rPr>
                <w:sz w:val="12"/>
              </w:rPr>
            </w:pPr>
            <w:r>
              <w:rPr>
                <w:sz w:val="12"/>
              </w:rPr>
              <w:t>1.800</w:t>
            </w:r>
          </w:p>
        </w:tc>
        <w:tc>
          <w:tcPr>
            <w:tcW w:w="801" w:type="dxa"/>
          </w:tcPr>
          <w:p>
            <w:pPr>
              <w:pStyle w:val="TableParagraph"/>
              <w:ind w:left="84"/>
              <w:rPr>
                <w:sz w:val="12"/>
              </w:rPr>
            </w:pPr>
            <w:r>
              <w:rPr>
                <w:sz w:val="12"/>
              </w:rPr>
              <w:t>Commerciali</w:t>
            </w:r>
          </w:p>
        </w:tc>
        <w:tc>
          <w:tcPr>
            <w:tcW w:w="2827" w:type="dxa"/>
          </w:tcPr>
          <w:p>
            <w:pPr>
              <w:pStyle w:val="TableParagraph"/>
              <w:ind w:left="100"/>
              <w:rPr>
                <w:sz w:val="12"/>
              </w:rPr>
            </w:pPr>
            <w:r>
              <w:rPr>
                <w:sz w:val="12"/>
              </w:rPr>
              <w:t>Servizi resi</w:t>
            </w:r>
          </w:p>
        </w:tc>
      </w:tr>
      <w:tr>
        <w:trPr>
          <w:trHeight w:val="164" w:hRule="exact"/>
        </w:trPr>
        <w:tc>
          <w:tcPr>
            <w:tcW w:w="684" w:type="dxa"/>
          </w:tcPr>
          <w:p>
            <w:pPr/>
          </w:p>
        </w:tc>
        <w:tc>
          <w:tcPr>
            <w:tcW w:w="1662" w:type="dxa"/>
          </w:tcPr>
          <w:p>
            <w:pPr>
              <w:pStyle w:val="TableParagraph"/>
              <w:ind w:left="31"/>
              <w:rPr>
                <w:sz w:val="12"/>
              </w:rPr>
            </w:pPr>
            <w:r>
              <w:rPr>
                <w:sz w:val="12"/>
              </w:rPr>
              <w:t>Beta Renewables</w:t>
            </w:r>
          </w:p>
        </w:tc>
        <w:tc>
          <w:tcPr>
            <w:tcW w:w="735" w:type="dxa"/>
          </w:tcPr>
          <w:p>
            <w:pPr>
              <w:pStyle w:val="TableParagraph"/>
              <w:ind w:right="45"/>
              <w:jc w:val="right"/>
              <w:rPr>
                <w:sz w:val="12"/>
              </w:rPr>
            </w:pPr>
            <w:r>
              <w:rPr>
                <w:sz w:val="12"/>
              </w:rPr>
              <w:t>8.300.000</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Servizi resi</w:t>
            </w:r>
          </w:p>
        </w:tc>
      </w:tr>
      <w:tr>
        <w:trPr>
          <w:trHeight w:val="164" w:hRule="exact"/>
        </w:trPr>
        <w:tc>
          <w:tcPr>
            <w:tcW w:w="684" w:type="dxa"/>
          </w:tcPr>
          <w:p>
            <w:pPr/>
          </w:p>
        </w:tc>
        <w:tc>
          <w:tcPr>
            <w:tcW w:w="1662" w:type="dxa"/>
          </w:tcPr>
          <w:p>
            <w:pPr>
              <w:pStyle w:val="TableParagraph"/>
              <w:ind w:left="31"/>
              <w:rPr>
                <w:sz w:val="12"/>
              </w:rPr>
            </w:pPr>
            <w:r>
              <w:rPr>
                <w:sz w:val="12"/>
              </w:rPr>
              <w:t>Beta Renewables</w:t>
            </w:r>
          </w:p>
        </w:tc>
        <w:tc>
          <w:tcPr>
            <w:tcW w:w="735" w:type="dxa"/>
          </w:tcPr>
          <w:p>
            <w:pPr>
              <w:pStyle w:val="TableParagraph"/>
              <w:ind w:right="45"/>
              <w:jc w:val="right"/>
              <w:rPr>
                <w:sz w:val="12"/>
              </w:rPr>
            </w:pPr>
            <w:r>
              <w:rPr>
                <w:sz w:val="12"/>
              </w:rPr>
              <w:t>8.153</w:t>
            </w:r>
          </w:p>
        </w:tc>
        <w:tc>
          <w:tcPr>
            <w:tcW w:w="801" w:type="dxa"/>
          </w:tcPr>
          <w:p>
            <w:pPr>
              <w:pStyle w:val="TableParagraph"/>
              <w:ind w:left="84"/>
              <w:rPr>
                <w:sz w:val="12"/>
              </w:rPr>
            </w:pPr>
            <w:r>
              <w:rPr>
                <w:sz w:val="12"/>
              </w:rPr>
              <w:t>Finanziari</w:t>
            </w:r>
          </w:p>
        </w:tc>
        <w:tc>
          <w:tcPr>
            <w:tcW w:w="2827" w:type="dxa"/>
          </w:tcPr>
          <w:p>
            <w:pPr>
              <w:pStyle w:val="TableParagraph"/>
              <w:ind w:left="100"/>
              <w:rPr>
                <w:sz w:val="12"/>
              </w:rPr>
            </w:pPr>
            <w:r>
              <w:rPr>
                <w:sz w:val="12"/>
              </w:rPr>
              <w:t>Interessi</w:t>
            </w:r>
          </w:p>
        </w:tc>
      </w:tr>
      <w:tr>
        <w:trPr>
          <w:trHeight w:val="164" w:hRule="exact"/>
        </w:trPr>
        <w:tc>
          <w:tcPr>
            <w:tcW w:w="684" w:type="dxa"/>
          </w:tcPr>
          <w:p>
            <w:pPr>
              <w:pStyle w:val="TableParagraph"/>
              <w:spacing w:before="13"/>
              <w:ind w:left="54" w:right="42"/>
              <w:jc w:val="center"/>
              <w:rPr>
                <w:b/>
                <w:sz w:val="12"/>
              </w:rPr>
            </w:pPr>
            <w:r>
              <w:rPr>
                <w:b/>
                <w:sz w:val="12"/>
              </w:rPr>
              <w:t>31/12/2016</w:t>
            </w:r>
          </w:p>
        </w:tc>
        <w:tc>
          <w:tcPr>
            <w:tcW w:w="1662" w:type="dxa"/>
          </w:tcPr>
          <w:p>
            <w:pPr>
              <w:pStyle w:val="TableParagraph"/>
              <w:ind w:left="31"/>
              <w:rPr>
                <w:sz w:val="12"/>
              </w:rPr>
            </w:pPr>
            <w:r>
              <w:rPr>
                <w:sz w:val="12"/>
              </w:rPr>
              <w:t>C5 6</w:t>
            </w:r>
          </w:p>
        </w:tc>
        <w:tc>
          <w:tcPr>
            <w:tcW w:w="735" w:type="dxa"/>
          </w:tcPr>
          <w:p>
            <w:pPr>
              <w:pStyle w:val="TableParagraph"/>
              <w:ind w:right="45"/>
              <w:jc w:val="right"/>
              <w:rPr>
                <w:sz w:val="12"/>
              </w:rPr>
            </w:pPr>
            <w:r>
              <w:rPr>
                <w:sz w:val="12"/>
              </w:rPr>
              <w:t>25.000</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Servizi resi</w:t>
            </w:r>
          </w:p>
        </w:tc>
      </w:tr>
      <w:tr>
        <w:trPr>
          <w:trHeight w:val="170" w:hRule="exact"/>
        </w:trPr>
        <w:tc>
          <w:tcPr>
            <w:tcW w:w="684" w:type="dxa"/>
          </w:tcPr>
          <w:p>
            <w:pPr/>
          </w:p>
        </w:tc>
        <w:tc>
          <w:tcPr>
            <w:tcW w:w="1662" w:type="dxa"/>
            <w:tcBorders>
              <w:bottom w:val="single" w:sz="5" w:space="0" w:color="000000"/>
            </w:tcBorders>
          </w:tcPr>
          <w:p>
            <w:pPr>
              <w:pStyle w:val="TableParagraph"/>
              <w:spacing w:before="9"/>
              <w:ind w:left="31"/>
              <w:rPr>
                <w:sz w:val="12"/>
              </w:rPr>
            </w:pPr>
            <w:r>
              <w:rPr>
                <w:sz w:val="12"/>
              </w:rPr>
              <w:t>C5 6</w:t>
            </w:r>
          </w:p>
        </w:tc>
        <w:tc>
          <w:tcPr>
            <w:tcW w:w="735" w:type="dxa"/>
            <w:tcBorders>
              <w:bottom w:val="single" w:sz="5" w:space="0" w:color="000000"/>
            </w:tcBorders>
          </w:tcPr>
          <w:p>
            <w:pPr>
              <w:pStyle w:val="TableParagraph"/>
              <w:spacing w:before="9"/>
              <w:ind w:right="45"/>
              <w:jc w:val="right"/>
              <w:rPr>
                <w:sz w:val="12"/>
              </w:rPr>
            </w:pPr>
            <w:r>
              <w:rPr>
                <w:sz w:val="12"/>
              </w:rPr>
              <w:t>21.465</w:t>
            </w:r>
          </w:p>
        </w:tc>
        <w:tc>
          <w:tcPr>
            <w:tcW w:w="801" w:type="dxa"/>
            <w:tcBorders>
              <w:bottom w:val="single" w:sz="5" w:space="0" w:color="000000"/>
            </w:tcBorders>
          </w:tcPr>
          <w:p>
            <w:pPr>
              <w:pStyle w:val="TableParagraph"/>
              <w:spacing w:before="9"/>
              <w:ind w:left="84"/>
              <w:rPr>
                <w:sz w:val="12"/>
              </w:rPr>
            </w:pPr>
            <w:r>
              <w:rPr>
                <w:sz w:val="12"/>
              </w:rPr>
              <w:t>Finanziari</w:t>
            </w:r>
          </w:p>
        </w:tc>
        <w:tc>
          <w:tcPr>
            <w:tcW w:w="2827" w:type="dxa"/>
            <w:tcBorders>
              <w:bottom w:val="single" w:sz="5" w:space="0" w:color="000000"/>
            </w:tcBorders>
          </w:tcPr>
          <w:p>
            <w:pPr>
              <w:pStyle w:val="TableParagraph"/>
              <w:spacing w:before="9"/>
              <w:ind w:left="101"/>
              <w:rPr>
                <w:sz w:val="12"/>
              </w:rPr>
            </w:pPr>
            <w:r>
              <w:rPr>
                <w:sz w:val="12"/>
              </w:rPr>
              <w:t>Interessi</w:t>
            </w:r>
          </w:p>
        </w:tc>
      </w:tr>
      <w:tr>
        <w:trPr>
          <w:trHeight w:val="167" w:hRule="exact"/>
        </w:trPr>
        <w:tc>
          <w:tcPr>
            <w:tcW w:w="684" w:type="dxa"/>
          </w:tcPr>
          <w:p>
            <w:pPr/>
          </w:p>
        </w:tc>
        <w:tc>
          <w:tcPr>
            <w:tcW w:w="1662" w:type="dxa"/>
            <w:tcBorders>
              <w:top w:val="single" w:sz="5" w:space="0" w:color="000000"/>
            </w:tcBorders>
          </w:tcPr>
          <w:p>
            <w:pPr>
              <w:pStyle w:val="TableParagraph"/>
              <w:spacing w:before="10"/>
              <w:ind w:left="31"/>
              <w:rPr>
                <w:b/>
                <w:sz w:val="12"/>
              </w:rPr>
            </w:pPr>
            <w:r>
              <w:rPr>
                <w:b/>
                <w:sz w:val="12"/>
              </w:rPr>
              <w:t>Costi</w:t>
            </w:r>
          </w:p>
        </w:tc>
        <w:tc>
          <w:tcPr>
            <w:tcW w:w="735" w:type="dxa"/>
            <w:tcBorders>
              <w:top w:val="single" w:sz="5" w:space="0" w:color="000000"/>
            </w:tcBorders>
          </w:tcPr>
          <w:p>
            <w:pPr>
              <w:pStyle w:val="TableParagraph"/>
              <w:spacing w:before="10"/>
              <w:ind w:right="45"/>
              <w:jc w:val="right"/>
              <w:rPr>
                <w:b/>
                <w:sz w:val="12"/>
              </w:rPr>
            </w:pPr>
            <w:r>
              <w:rPr>
                <w:b/>
                <w:sz w:val="12"/>
              </w:rPr>
              <w:t>36.857.335</w:t>
            </w:r>
          </w:p>
        </w:tc>
        <w:tc>
          <w:tcPr>
            <w:tcW w:w="801" w:type="dxa"/>
            <w:tcBorders>
              <w:top w:val="single" w:sz="5" w:space="0" w:color="000000"/>
            </w:tcBorders>
          </w:tcPr>
          <w:p>
            <w:pPr/>
          </w:p>
        </w:tc>
        <w:tc>
          <w:tcPr>
            <w:tcW w:w="2827" w:type="dxa"/>
            <w:tcBorders>
              <w:top w:val="single" w:sz="5" w:space="0" w:color="000000"/>
            </w:tcBorders>
          </w:tcPr>
          <w:p>
            <w:pPr/>
          </w:p>
        </w:tc>
      </w:tr>
      <w:tr>
        <w:trPr>
          <w:trHeight w:val="162" w:hRule="exact"/>
        </w:trPr>
        <w:tc>
          <w:tcPr>
            <w:tcW w:w="684" w:type="dxa"/>
          </w:tcPr>
          <w:p>
            <w:pPr/>
          </w:p>
        </w:tc>
        <w:tc>
          <w:tcPr>
            <w:tcW w:w="1662" w:type="dxa"/>
          </w:tcPr>
          <w:p>
            <w:pPr>
              <w:pStyle w:val="TableParagraph"/>
              <w:spacing w:before="9"/>
              <w:ind w:left="31"/>
              <w:rPr>
                <w:sz w:val="12"/>
              </w:rPr>
            </w:pPr>
            <w:r>
              <w:rPr>
                <w:sz w:val="12"/>
              </w:rPr>
              <w:t>Mossi &amp; Ghisolfi S.p.A.</w:t>
            </w:r>
          </w:p>
        </w:tc>
        <w:tc>
          <w:tcPr>
            <w:tcW w:w="735" w:type="dxa"/>
          </w:tcPr>
          <w:p>
            <w:pPr>
              <w:pStyle w:val="TableParagraph"/>
              <w:spacing w:before="9"/>
              <w:ind w:right="45"/>
              <w:jc w:val="right"/>
              <w:rPr>
                <w:sz w:val="12"/>
              </w:rPr>
            </w:pPr>
            <w:r>
              <w:rPr>
                <w:sz w:val="12"/>
              </w:rPr>
              <w:t>4.695.803</w:t>
            </w:r>
          </w:p>
        </w:tc>
        <w:tc>
          <w:tcPr>
            <w:tcW w:w="801" w:type="dxa"/>
          </w:tcPr>
          <w:p>
            <w:pPr>
              <w:pStyle w:val="TableParagraph"/>
              <w:spacing w:before="9"/>
              <w:ind w:left="84"/>
              <w:rPr>
                <w:sz w:val="12"/>
              </w:rPr>
            </w:pPr>
            <w:r>
              <w:rPr>
                <w:sz w:val="12"/>
              </w:rPr>
              <w:t>Oneri fiscali</w:t>
            </w:r>
          </w:p>
        </w:tc>
        <w:tc>
          <w:tcPr>
            <w:tcW w:w="2827" w:type="dxa"/>
          </w:tcPr>
          <w:p>
            <w:pPr>
              <w:pStyle w:val="TableParagraph"/>
              <w:spacing w:before="9"/>
              <w:ind w:left="100"/>
              <w:rPr>
                <w:sz w:val="12"/>
              </w:rPr>
            </w:pPr>
            <w:r>
              <w:rPr>
                <w:sz w:val="12"/>
              </w:rPr>
              <w:t>Oneri adesione consolidato fiscale</w:t>
            </w:r>
          </w:p>
        </w:tc>
      </w:tr>
      <w:tr>
        <w:trPr>
          <w:trHeight w:val="163" w:hRule="exact"/>
        </w:trPr>
        <w:tc>
          <w:tcPr>
            <w:tcW w:w="684" w:type="dxa"/>
          </w:tcPr>
          <w:p>
            <w:pPr/>
          </w:p>
        </w:tc>
        <w:tc>
          <w:tcPr>
            <w:tcW w:w="1662" w:type="dxa"/>
          </w:tcPr>
          <w:p>
            <w:pPr>
              <w:pStyle w:val="TableParagraph"/>
              <w:ind w:left="31"/>
              <w:rPr>
                <w:sz w:val="12"/>
              </w:rPr>
            </w:pPr>
            <w:r>
              <w:rPr>
                <w:sz w:val="12"/>
              </w:rPr>
              <w:t>Mossi &amp; Ghisolfi S.p.A.</w:t>
            </w:r>
          </w:p>
        </w:tc>
        <w:tc>
          <w:tcPr>
            <w:tcW w:w="735" w:type="dxa"/>
          </w:tcPr>
          <w:p>
            <w:pPr>
              <w:pStyle w:val="TableParagraph"/>
              <w:ind w:right="45"/>
              <w:jc w:val="right"/>
              <w:rPr>
                <w:sz w:val="12"/>
              </w:rPr>
            </w:pPr>
            <w:r>
              <w:rPr>
                <w:sz w:val="12"/>
              </w:rPr>
              <w:t>11.458</w:t>
            </w:r>
          </w:p>
        </w:tc>
        <w:tc>
          <w:tcPr>
            <w:tcW w:w="801" w:type="dxa"/>
          </w:tcPr>
          <w:p>
            <w:pPr>
              <w:pStyle w:val="TableParagraph"/>
              <w:ind w:left="84"/>
              <w:rPr>
                <w:sz w:val="12"/>
              </w:rPr>
            </w:pPr>
            <w:r>
              <w:rPr>
                <w:sz w:val="12"/>
              </w:rPr>
              <w:t>Finanziari</w:t>
            </w:r>
          </w:p>
        </w:tc>
        <w:tc>
          <w:tcPr>
            <w:tcW w:w="2827" w:type="dxa"/>
          </w:tcPr>
          <w:p>
            <w:pPr>
              <w:pStyle w:val="TableParagraph"/>
              <w:ind w:left="99"/>
              <w:rPr>
                <w:sz w:val="12"/>
              </w:rPr>
            </w:pPr>
            <w:r>
              <w:rPr>
                <w:sz w:val="12"/>
              </w:rPr>
              <w:t>Commissioni su fideiussioni</w:t>
            </w:r>
          </w:p>
        </w:tc>
      </w:tr>
      <w:tr>
        <w:trPr>
          <w:trHeight w:val="163" w:hRule="exact"/>
        </w:trPr>
        <w:tc>
          <w:tcPr>
            <w:tcW w:w="684" w:type="dxa"/>
          </w:tcPr>
          <w:p>
            <w:pPr/>
          </w:p>
        </w:tc>
        <w:tc>
          <w:tcPr>
            <w:tcW w:w="1662" w:type="dxa"/>
          </w:tcPr>
          <w:p>
            <w:pPr>
              <w:pStyle w:val="TableParagraph"/>
              <w:ind w:left="31"/>
              <w:rPr>
                <w:sz w:val="12"/>
              </w:rPr>
            </w:pPr>
            <w:r>
              <w:rPr>
                <w:sz w:val="12"/>
              </w:rPr>
              <w:t>C5 6</w:t>
            </w:r>
          </w:p>
        </w:tc>
        <w:tc>
          <w:tcPr>
            <w:tcW w:w="735" w:type="dxa"/>
          </w:tcPr>
          <w:p>
            <w:pPr>
              <w:pStyle w:val="TableParagraph"/>
              <w:ind w:right="45"/>
              <w:jc w:val="right"/>
              <w:rPr>
                <w:sz w:val="12"/>
              </w:rPr>
            </w:pPr>
            <w:r>
              <w:rPr>
                <w:sz w:val="12"/>
              </w:rPr>
              <w:t>700.000</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Servizi ricevuti</w:t>
            </w:r>
          </w:p>
        </w:tc>
      </w:tr>
      <w:tr>
        <w:trPr>
          <w:trHeight w:val="163" w:hRule="exact"/>
        </w:trPr>
        <w:tc>
          <w:tcPr>
            <w:tcW w:w="684" w:type="dxa"/>
          </w:tcPr>
          <w:p>
            <w:pPr/>
          </w:p>
        </w:tc>
        <w:tc>
          <w:tcPr>
            <w:tcW w:w="1662" w:type="dxa"/>
          </w:tcPr>
          <w:p>
            <w:pPr>
              <w:pStyle w:val="TableParagraph"/>
              <w:ind w:left="31"/>
              <w:rPr>
                <w:sz w:val="12"/>
              </w:rPr>
            </w:pPr>
            <w:r>
              <w:rPr>
                <w:sz w:val="12"/>
              </w:rPr>
              <w:t>IBP Energia</w:t>
            </w:r>
          </w:p>
        </w:tc>
        <w:tc>
          <w:tcPr>
            <w:tcW w:w="735" w:type="dxa"/>
          </w:tcPr>
          <w:p>
            <w:pPr>
              <w:pStyle w:val="TableParagraph"/>
              <w:ind w:right="45"/>
              <w:jc w:val="right"/>
              <w:rPr>
                <w:sz w:val="12"/>
              </w:rPr>
            </w:pPr>
            <w:r>
              <w:rPr>
                <w:sz w:val="12"/>
              </w:rPr>
              <w:t>21</w:t>
            </w:r>
          </w:p>
        </w:tc>
        <w:tc>
          <w:tcPr>
            <w:tcW w:w="801" w:type="dxa"/>
          </w:tcPr>
          <w:p>
            <w:pPr>
              <w:pStyle w:val="TableParagraph"/>
              <w:ind w:left="84"/>
              <w:rPr>
                <w:sz w:val="12"/>
              </w:rPr>
            </w:pPr>
            <w:r>
              <w:rPr>
                <w:sz w:val="12"/>
              </w:rPr>
              <w:t>Finanziari</w:t>
            </w:r>
          </w:p>
        </w:tc>
        <w:tc>
          <w:tcPr>
            <w:tcW w:w="2827" w:type="dxa"/>
          </w:tcPr>
          <w:p>
            <w:pPr>
              <w:pStyle w:val="TableParagraph"/>
              <w:ind w:left="100"/>
              <w:rPr>
                <w:sz w:val="12"/>
              </w:rPr>
            </w:pPr>
            <w:r>
              <w:rPr>
                <w:sz w:val="12"/>
              </w:rPr>
              <w:t>Finanziari</w:t>
            </w:r>
          </w:p>
        </w:tc>
      </w:tr>
      <w:tr>
        <w:trPr>
          <w:trHeight w:val="163" w:hRule="exact"/>
        </w:trPr>
        <w:tc>
          <w:tcPr>
            <w:tcW w:w="684" w:type="dxa"/>
          </w:tcPr>
          <w:p>
            <w:pPr/>
          </w:p>
        </w:tc>
        <w:tc>
          <w:tcPr>
            <w:tcW w:w="1662" w:type="dxa"/>
          </w:tcPr>
          <w:p>
            <w:pPr>
              <w:pStyle w:val="TableParagraph"/>
              <w:ind w:left="31"/>
              <w:rPr>
                <w:sz w:val="12"/>
              </w:rPr>
            </w:pPr>
            <w:r>
              <w:rPr>
                <w:sz w:val="12"/>
              </w:rPr>
              <w:t>Biochemtex Agro</w:t>
            </w:r>
          </w:p>
        </w:tc>
        <w:tc>
          <w:tcPr>
            <w:tcW w:w="735" w:type="dxa"/>
          </w:tcPr>
          <w:p>
            <w:pPr>
              <w:pStyle w:val="TableParagraph"/>
              <w:ind w:right="168"/>
              <w:jc w:val="right"/>
              <w:rPr>
                <w:sz w:val="12"/>
              </w:rPr>
            </w:pPr>
            <w:r>
              <w:rPr>
                <w:w w:val="102"/>
                <w:sz w:val="12"/>
              </w:rPr>
              <w:t>-</w:t>
            </w:r>
          </w:p>
        </w:tc>
        <w:tc>
          <w:tcPr>
            <w:tcW w:w="801" w:type="dxa"/>
          </w:tcPr>
          <w:p>
            <w:pPr>
              <w:pStyle w:val="TableParagraph"/>
              <w:ind w:left="84"/>
              <w:rPr>
                <w:sz w:val="12"/>
              </w:rPr>
            </w:pPr>
            <w:r>
              <w:rPr>
                <w:sz w:val="12"/>
              </w:rPr>
              <w:t>Commerciali</w:t>
            </w:r>
          </w:p>
        </w:tc>
        <w:tc>
          <w:tcPr>
            <w:tcW w:w="2827" w:type="dxa"/>
          </w:tcPr>
          <w:p>
            <w:pPr>
              <w:pStyle w:val="TableParagraph"/>
              <w:ind w:left="100"/>
              <w:rPr>
                <w:sz w:val="12"/>
              </w:rPr>
            </w:pPr>
            <w:r>
              <w:rPr>
                <w:sz w:val="12"/>
              </w:rPr>
              <w:t>Servizi ricevuti</w:t>
            </w:r>
          </w:p>
        </w:tc>
      </w:tr>
      <w:tr>
        <w:trPr>
          <w:trHeight w:val="163" w:hRule="exact"/>
        </w:trPr>
        <w:tc>
          <w:tcPr>
            <w:tcW w:w="684" w:type="dxa"/>
          </w:tcPr>
          <w:p>
            <w:pPr/>
          </w:p>
        </w:tc>
        <w:tc>
          <w:tcPr>
            <w:tcW w:w="1662" w:type="dxa"/>
          </w:tcPr>
          <w:p>
            <w:pPr>
              <w:pStyle w:val="TableParagraph"/>
              <w:ind w:left="31"/>
              <w:rPr>
                <w:sz w:val="12"/>
              </w:rPr>
            </w:pPr>
            <w:r>
              <w:rPr>
                <w:sz w:val="12"/>
              </w:rPr>
              <w:t>Chemtex International Inc Usa</w:t>
            </w:r>
          </w:p>
        </w:tc>
        <w:tc>
          <w:tcPr>
            <w:tcW w:w="735" w:type="dxa"/>
          </w:tcPr>
          <w:p>
            <w:pPr>
              <w:pStyle w:val="TableParagraph"/>
              <w:ind w:right="45"/>
              <w:jc w:val="right"/>
              <w:rPr>
                <w:sz w:val="12"/>
              </w:rPr>
            </w:pPr>
            <w:r>
              <w:rPr>
                <w:sz w:val="12"/>
              </w:rPr>
              <w:t>28.338.887</w:t>
            </w:r>
          </w:p>
        </w:tc>
        <w:tc>
          <w:tcPr>
            <w:tcW w:w="801" w:type="dxa"/>
          </w:tcPr>
          <w:p>
            <w:pPr>
              <w:pStyle w:val="TableParagraph"/>
              <w:ind w:left="84"/>
              <w:rPr>
                <w:sz w:val="12"/>
              </w:rPr>
            </w:pPr>
            <w:r>
              <w:rPr>
                <w:sz w:val="12"/>
              </w:rPr>
              <w:t>Commerciali</w:t>
            </w:r>
          </w:p>
        </w:tc>
        <w:tc>
          <w:tcPr>
            <w:tcW w:w="2827" w:type="dxa"/>
          </w:tcPr>
          <w:p>
            <w:pPr>
              <w:pStyle w:val="TableParagraph"/>
              <w:ind w:left="100"/>
              <w:rPr>
                <w:sz w:val="12"/>
              </w:rPr>
            </w:pPr>
            <w:r>
              <w:rPr>
                <w:sz w:val="12"/>
              </w:rPr>
              <w:t>Servizi ricevuti</w:t>
            </w:r>
          </w:p>
        </w:tc>
      </w:tr>
      <w:tr>
        <w:trPr>
          <w:trHeight w:val="164" w:hRule="exact"/>
        </w:trPr>
        <w:tc>
          <w:tcPr>
            <w:tcW w:w="684" w:type="dxa"/>
          </w:tcPr>
          <w:p>
            <w:pPr/>
          </w:p>
        </w:tc>
        <w:tc>
          <w:tcPr>
            <w:tcW w:w="1662" w:type="dxa"/>
          </w:tcPr>
          <w:p>
            <w:pPr>
              <w:pStyle w:val="TableParagraph"/>
              <w:ind w:left="31"/>
              <w:rPr>
                <w:sz w:val="12"/>
              </w:rPr>
            </w:pPr>
            <w:r>
              <w:rPr>
                <w:sz w:val="12"/>
              </w:rPr>
              <w:t>Chemtex International Inc Usa</w:t>
            </w:r>
          </w:p>
        </w:tc>
        <w:tc>
          <w:tcPr>
            <w:tcW w:w="735" w:type="dxa"/>
          </w:tcPr>
          <w:p>
            <w:pPr>
              <w:pStyle w:val="TableParagraph"/>
              <w:ind w:right="45"/>
              <w:jc w:val="right"/>
              <w:rPr>
                <w:sz w:val="12"/>
              </w:rPr>
            </w:pPr>
            <w:r>
              <w:rPr>
                <w:sz w:val="12"/>
              </w:rPr>
              <w:t>9.643</w:t>
            </w:r>
          </w:p>
        </w:tc>
        <w:tc>
          <w:tcPr>
            <w:tcW w:w="801" w:type="dxa"/>
          </w:tcPr>
          <w:p>
            <w:pPr>
              <w:pStyle w:val="TableParagraph"/>
              <w:ind w:left="84"/>
              <w:rPr>
                <w:sz w:val="12"/>
              </w:rPr>
            </w:pPr>
            <w:r>
              <w:rPr>
                <w:sz w:val="12"/>
              </w:rPr>
              <w:t>Finanziari</w:t>
            </w:r>
          </w:p>
        </w:tc>
        <w:tc>
          <w:tcPr>
            <w:tcW w:w="2827" w:type="dxa"/>
          </w:tcPr>
          <w:p>
            <w:pPr>
              <w:pStyle w:val="TableParagraph"/>
              <w:ind w:left="99"/>
              <w:rPr>
                <w:sz w:val="12"/>
              </w:rPr>
            </w:pPr>
            <w:r>
              <w:rPr>
                <w:sz w:val="12"/>
              </w:rPr>
              <w:t>Interessi su finanziamento</w:t>
            </w:r>
          </w:p>
        </w:tc>
      </w:tr>
      <w:tr>
        <w:trPr>
          <w:trHeight w:val="164" w:hRule="exact"/>
        </w:trPr>
        <w:tc>
          <w:tcPr>
            <w:tcW w:w="684" w:type="dxa"/>
          </w:tcPr>
          <w:p>
            <w:pPr/>
          </w:p>
        </w:tc>
        <w:tc>
          <w:tcPr>
            <w:tcW w:w="1662" w:type="dxa"/>
          </w:tcPr>
          <w:p>
            <w:pPr>
              <w:pStyle w:val="TableParagraph"/>
              <w:ind w:left="31"/>
              <w:rPr>
                <w:sz w:val="12"/>
              </w:rPr>
            </w:pPr>
            <w:r>
              <w:rPr>
                <w:sz w:val="12"/>
              </w:rPr>
              <w:t>M&amp;G Polymers Usa</w:t>
            </w:r>
          </w:p>
        </w:tc>
        <w:tc>
          <w:tcPr>
            <w:tcW w:w="735" w:type="dxa"/>
          </w:tcPr>
          <w:p>
            <w:pPr>
              <w:pStyle w:val="TableParagraph"/>
              <w:ind w:right="169"/>
              <w:jc w:val="right"/>
              <w:rPr>
                <w:sz w:val="12"/>
              </w:rPr>
            </w:pPr>
            <w:r>
              <w:rPr>
                <w:w w:val="102"/>
                <w:sz w:val="12"/>
              </w:rPr>
              <w:t>-</w:t>
            </w:r>
          </w:p>
        </w:tc>
        <w:tc>
          <w:tcPr>
            <w:tcW w:w="801" w:type="dxa"/>
          </w:tcPr>
          <w:p>
            <w:pPr>
              <w:pStyle w:val="TableParagraph"/>
              <w:ind w:left="84"/>
              <w:rPr>
                <w:sz w:val="12"/>
              </w:rPr>
            </w:pPr>
            <w:r>
              <w:rPr>
                <w:sz w:val="12"/>
              </w:rPr>
              <w:t>Commerciali</w:t>
            </w:r>
          </w:p>
        </w:tc>
        <w:tc>
          <w:tcPr>
            <w:tcW w:w="2827" w:type="dxa"/>
          </w:tcPr>
          <w:p>
            <w:pPr>
              <w:pStyle w:val="TableParagraph"/>
              <w:ind w:left="100"/>
              <w:rPr>
                <w:sz w:val="12"/>
              </w:rPr>
            </w:pPr>
            <w:r>
              <w:rPr>
                <w:sz w:val="12"/>
              </w:rPr>
              <w:t>Servizi ricevuti</w:t>
            </w:r>
          </w:p>
        </w:tc>
      </w:tr>
      <w:tr>
        <w:trPr>
          <w:trHeight w:val="163" w:hRule="exact"/>
        </w:trPr>
        <w:tc>
          <w:tcPr>
            <w:tcW w:w="684" w:type="dxa"/>
          </w:tcPr>
          <w:p>
            <w:pPr/>
          </w:p>
        </w:tc>
        <w:tc>
          <w:tcPr>
            <w:tcW w:w="1662" w:type="dxa"/>
          </w:tcPr>
          <w:p>
            <w:pPr>
              <w:pStyle w:val="TableParagraph"/>
              <w:ind w:left="31"/>
              <w:rPr>
                <w:sz w:val="12"/>
              </w:rPr>
            </w:pPr>
            <w:r>
              <w:rPr>
                <w:sz w:val="12"/>
              </w:rPr>
              <w:t>Chemtex India Bangalore</w:t>
            </w:r>
          </w:p>
        </w:tc>
        <w:tc>
          <w:tcPr>
            <w:tcW w:w="735" w:type="dxa"/>
          </w:tcPr>
          <w:p>
            <w:pPr>
              <w:pStyle w:val="TableParagraph"/>
              <w:ind w:right="45"/>
              <w:jc w:val="right"/>
              <w:rPr>
                <w:sz w:val="12"/>
              </w:rPr>
            </w:pPr>
            <w:r>
              <w:rPr>
                <w:sz w:val="12"/>
              </w:rPr>
              <w:t>378.152</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Servizi ricevuti</w:t>
            </w:r>
          </w:p>
        </w:tc>
      </w:tr>
      <w:tr>
        <w:trPr>
          <w:trHeight w:val="163" w:hRule="exact"/>
        </w:trPr>
        <w:tc>
          <w:tcPr>
            <w:tcW w:w="684" w:type="dxa"/>
          </w:tcPr>
          <w:p>
            <w:pPr/>
          </w:p>
        </w:tc>
        <w:tc>
          <w:tcPr>
            <w:tcW w:w="1662" w:type="dxa"/>
          </w:tcPr>
          <w:p>
            <w:pPr>
              <w:pStyle w:val="TableParagraph"/>
              <w:ind w:left="31"/>
              <w:rPr>
                <w:sz w:val="12"/>
              </w:rPr>
            </w:pPr>
            <w:r>
              <w:rPr>
                <w:sz w:val="12"/>
              </w:rPr>
              <w:t>M&amp;G Finanziaria</w:t>
            </w:r>
          </w:p>
        </w:tc>
        <w:tc>
          <w:tcPr>
            <w:tcW w:w="735" w:type="dxa"/>
          </w:tcPr>
          <w:p>
            <w:pPr>
              <w:pStyle w:val="TableParagraph"/>
              <w:ind w:right="45"/>
              <w:jc w:val="right"/>
              <w:rPr>
                <w:sz w:val="12"/>
              </w:rPr>
            </w:pPr>
            <w:r>
              <w:rPr>
                <w:sz w:val="12"/>
              </w:rPr>
              <w:t>845.000</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Servizi ricevuti</w:t>
            </w:r>
          </w:p>
        </w:tc>
      </w:tr>
      <w:tr>
        <w:trPr>
          <w:trHeight w:val="163" w:hRule="exact"/>
        </w:trPr>
        <w:tc>
          <w:tcPr>
            <w:tcW w:w="684" w:type="dxa"/>
          </w:tcPr>
          <w:p>
            <w:pPr/>
          </w:p>
        </w:tc>
        <w:tc>
          <w:tcPr>
            <w:tcW w:w="1662" w:type="dxa"/>
          </w:tcPr>
          <w:p>
            <w:pPr>
              <w:pStyle w:val="TableParagraph"/>
              <w:ind w:left="31"/>
              <w:rPr>
                <w:sz w:val="12"/>
              </w:rPr>
            </w:pPr>
            <w:r>
              <w:rPr>
                <w:sz w:val="12"/>
              </w:rPr>
              <w:t>M&amp;G Finanziaria</w:t>
            </w:r>
          </w:p>
        </w:tc>
        <w:tc>
          <w:tcPr>
            <w:tcW w:w="735" w:type="dxa"/>
          </w:tcPr>
          <w:p>
            <w:pPr>
              <w:pStyle w:val="TableParagraph"/>
              <w:ind w:right="45"/>
              <w:jc w:val="right"/>
              <w:rPr>
                <w:sz w:val="12"/>
              </w:rPr>
            </w:pPr>
            <w:r>
              <w:rPr>
                <w:sz w:val="12"/>
              </w:rPr>
              <w:t>174.899</w:t>
            </w:r>
          </w:p>
        </w:tc>
        <w:tc>
          <w:tcPr>
            <w:tcW w:w="801" w:type="dxa"/>
          </w:tcPr>
          <w:p>
            <w:pPr>
              <w:pStyle w:val="TableParagraph"/>
              <w:ind w:left="84"/>
              <w:rPr>
                <w:sz w:val="12"/>
              </w:rPr>
            </w:pPr>
            <w:r>
              <w:rPr>
                <w:sz w:val="12"/>
              </w:rPr>
              <w:t>Commerciali</w:t>
            </w:r>
          </w:p>
        </w:tc>
        <w:tc>
          <w:tcPr>
            <w:tcW w:w="2827" w:type="dxa"/>
          </w:tcPr>
          <w:p>
            <w:pPr>
              <w:pStyle w:val="TableParagraph"/>
              <w:ind w:left="101"/>
              <w:rPr>
                <w:sz w:val="12"/>
              </w:rPr>
            </w:pPr>
            <w:r>
              <w:rPr>
                <w:sz w:val="12"/>
              </w:rPr>
              <w:t>Affitto uffici e relativi servizi</w:t>
            </w:r>
          </w:p>
        </w:tc>
      </w:tr>
      <w:tr>
        <w:trPr>
          <w:trHeight w:val="163" w:hRule="exact"/>
        </w:trPr>
        <w:tc>
          <w:tcPr>
            <w:tcW w:w="684" w:type="dxa"/>
          </w:tcPr>
          <w:p>
            <w:pPr/>
          </w:p>
        </w:tc>
        <w:tc>
          <w:tcPr>
            <w:tcW w:w="1662" w:type="dxa"/>
          </w:tcPr>
          <w:p>
            <w:pPr>
              <w:pStyle w:val="TableParagraph"/>
              <w:ind w:left="31"/>
              <w:rPr>
                <w:sz w:val="12"/>
              </w:rPr>
            </w:pPr>
            <w:r>
              <w:rPr>
                <w:sz w:val="12"/>
              </w:rPr>
              <w:t>M&amp;G Finanziaria</w:t>
            </w:r>
          </w:p>
        </w:tc>
        <w:tc>
          <w:tcPr>
            <w:tcW w:w="735" w:type="dxa"/>
          </w:tcPr>
          <w:p>
            <w:pPr>
              <w:pStyle w:val="TableParagraph"/>
              <w:ind w:right="45"/>
              <w:jc w:val="right"/>
              <w:rPr>
                <w:sz w:val="12"/>
              </w:rPr>
            </w:pPr>
            <w:r>
              <w:rPr>
                <w:sz w:val="12"/>
              </w:rPr>
              <w:t>943.311</w:t>
            </w:r>
          </w:p>
        </w:tc>
        <w:tc>
          <w:tcPr>
            <w:tcW w:w="801" w:type="dxa"/>
          </w:tcPr>
          <w:p>
            <w:pPr>
              <w:pStyle w:val="TableParagraph"/>
              <w:ind w:left="84"/>
              <w:rPr>
                <w:sz w:val="12"/>
              </w:rPr>
            </w:pPr>
            <w:r>
              <w:rPr>
                <w:sz w:val="12"/>
              </w:rPr>
              <w:t>Finanziari</w:t>
            </w:r>
          </w:p>
        </w:tc>
        <w:tc>
          <w:tcPr>
            <w:tcW w:w="2827" w:type="dxa"/>
          </w:tcPr>
          <w:p>
            <w:pPr>
              <w:pStyle w:val="TableParagraph"/>
              <w:ind w:left="99"/>
              <w:rPr>
                <w:sz w:val="12"/>
              </w:rPr>
            </w:pPr>
            <w:r>
              <w:rPr>
                <w:sz w:val="12"/>
              </w:rPr>
              <w:t>Commissioni su fideius., interessi cash pooling e fee</w:t>
            </w:r>
          </w:p>
        </w:tc>
      </w:tr>
      <w:tr>
        <w:trPr>
          <w:trHeight w:val="176" w:hRule="exact"/>
        </w:trPr>
        <w:tc>
          <w:tcPr>
            <w:tcW w:w="684" w:type="dxa"/>
            <w:tcBorders>
              <w:bottom w:val="single" w:sz="4" w:space="0" w:color="000000"/>
            </w:tcBorders>
          </w:tcPr>
          <w:p>
            <w:pPr/>
          </w:p>
        </w:tc>
        <w:tc>
          <w:tcPr>
            <w:tcW w:w="1662" w:type="dxa"/>
            <w:tcBorders>
              <w:bottom w:val="single" w:sz="4" w:space="0" w:color="000000"/>
            </w:tcBorders>
          </w:tcPr>
          <w:p>
            <w:pPr>
              <w:pStyle w:val="TableParagraph"/>
              <w:ind w:left="31"/>
              <w:rPr>
                <w:sz w:val="12"/>
              </w:rPr>
            </w:pPr>
            <w:r>
              <w:rPr>
                <w:sz w:val="12"/>
              </w:rPr>
              <w:t>Chemtex Shanghai Cina</w:t>
            </w:r>
          </w:p>
        </w:tc>
        <w:tc>
          <w:tcPr>
            <w:tcW w:w="735" w:type="dxa"/>
            <w:tcBorders>
              <w:bottom w:val="single" w:sz="4" w:space="0" w:color="000000"/>
            </w:tcBorders>
          </w:tcPr>
          <w:p>
            <w:pPr>
              <w:pStyle w:val="TableParagraph"/>
              <w:ind w:right="45"/>
              <w:jc w:val="right"/>
              <w:rPr>
                <w:sz w:val="12"/>
              </w:rPr>
            </w:pPr>
            <w:r>
              <w:rPr>
                <w:sz w:val="12"/>
              </w:rPr>
              <w:t>760.161</w:t>
            </w:r>
          </w:p>
        </w:tc>
        <w:tc>
          <w:tcPr>
            <w:tcW w:w="801" w:type="dxa"/>
            <w:tcBorders>
              <w:bottom w:val="single" w:sz="4" w:space="0" w:color="000000"/>
            </w:tcBorders>
          </w:tcPr>
          <w:p>
            <w:pPr>
              <w:pStyle w:val="TableParagraph"/>
              <w:ind w:left="84"/>
              <w:rPr>
                <w:sz w:val="12"/>
              </w:rPr>
            </w:pPr>
            <w:r>
              <w:rPr>
                <w:sz w:val="12"/>
              </w:rPr>
              <w:t>Commerciali</w:t>
            </w:r>
          </w:p>
        </w:tc>
        <w:tc>
          <w:tcPr>
            <w:tcW w:w="2827" w:type="dxa"/>
            <w:tcBorders>
              <w:bottom w:val="single" w:sz="4" w:space="0" w:color="000000"/>
            </w:tcBorders>
          </w:tcPr>
          <w:p>
            <w:pPr>
              <w:pStyle w:val="TableParagraph"/>
              <w:ind w:left="101"/>
              <w:rPr>
                <w:sz w:val="12"/>
              </w:rPr>
            </w:pPr>
            <w:r>
              <w:rPr>
                <w:sz w:val="12"/>
              </w:rPr>
              <w:t>Servizi ricevuti</w:t>
            </w:r>
          </w:p>
        </w:tc>
      </w:tr>
      <w:tr>
        <w:trPr>
          <w:trHeight w:val="528" w:hRule="exact"/>
        </w:trPr>
        <w:tc>
          <w:tcPr>
            <w:tcW w:w="684" w:type="dxa"/>
            <w:tcBorders>
              <w:top w:val="single" w:sz="4" w:space="0" w:color="000000"/>
            </w:tcBorders>
          </w:tcPr>
          <w:p>
            <w:pPr/>
          </w:p>
        </w:tc>
        <w:tc>
          <w:tcPr>
            <w:tcW w:w="1662" w:type="dxa"/>
            <w:tcBorders>
              <w:top w:val="single" w:sz="4" w:space="0" w:color="000000"/>
            </w:tcBorders>
          </w:tcPr>
          <w:p>
            <w:pPr/>
          </w:p>
        </w:tc>
        <w:tc>
          <w:tcPr>
            <w:tcW w:w="735" w:type="dxa"/>
            <w:tcBorders>
              <w:top w:val="single" w:sz="4" w:space="0" w:color="000000"/>
            </w:tcBorders>
          </w:tcPr>
          <w:p>
            <w:pPr/>
          </w:p>
        </w:tc>
        <w:tc>
          <w:tcPr>
            <w:tcW w:w="801" w:type="dxa"/>
            <w:tcBorders>
              <w:top w:val="single" w:sz="4" w:space="0" w:color="000000"/>
            </w:tcBorders>
          </w:tcPr>
          <w:p>
            <w:pPr>
              <w:pStyle w:val="TableParagraph"/>
              <w:spacing w:before="9"/>
              <w:rPr>
                <w:sz w:val="23"/>
              </w:rPr>
            </w:pPr>
          </w:p>
          <w:p>
            <w:pPr>
              <w:pStyle w:val="TableParagraph"/>
              <w:spacing w:before="0"/>
              <w:ind w:left="47"/>
              <w:rPr>
                <w:rFonts w:ascii="Garamond"/>
                <w:b/>
                <w:sz w:val="22"/>
              </w:rPr>
            </w:pPr>
            <w:r>
              <w:rPr>
                <w:rFonts w:ascii="Garamond"/>
                <w:b/>
                <w:w w:val="105"/>
                <w:sz w:val="22"/>
              </w:rPr>
              <w:t>* * *</w:t>
            </w:r>
          </w:p>
        </w:tc>
        <w:tc>
          <w:tcPr>
            <w:tcW w:w="2827" w:type="dxa"/>
            <w:tcBorders>
              <w:top w:val="single" w:sz="4" w:space="0" w:color="000000"/>
            </w:tcBorders>
          </w:tcPr>
          <w:p>
            <w:pPr/>
          </w:p>
        </w:tc>
      </w:tr>
    </w:tbl>
    <w:p>
      <w:pPr>
        <w:pStyle w:val="BodyText"/>
        <w:spacing w:before="4"/>
        <w:rPr>
          <w:rFonts w:ascii="Times New Roman"/>
          <w:sz w:val="13"/>
        </w:rPr>
      </w:pPr>
    </w:p>
    <w:p>
      <w:pPr>
        <w:pStyle w:val="Heading2"/>
        <w:numPr>
          <w:ilvl w:val="1"/>
          <w:numId w:val="8"/>
        </w:numPr>
        <w:tabs>
          <w:tab w:pos="1975" w:val="left" w:leader="none"/>
          <w:tab w:pos="1976" w:val="left" w:leader="none"/>
        </w:tabs>
        <w:spacing w:line="240" w:lineRule="auto" w:before="105" w:after="0"/>
        <w:ind w:left="1976" w:right="0" w:hanging="668"/>
        <w:jc w:val="left"/>
      </w:pPr>
      <w:bookmarkStart w:name="_TOC_250045" w:id="7"/>
      <w:r>
        <w:rPr>
          <w:w w:val="105"/>
        </w:rPr>
        <w:t>La</w:t>
      </w:r>
      <w:r>
        <w:rPr>
          <w:spacing w:val="-19"/>
          <w:w w:val="105"/>
        </w:rPr>
        <w:t> </w:t>
      </w:r>
      <w:r>
        <w:rPr>
          <w:w w:val="105"/>
        </w:rPr>
        <w:t>situazione</w:t>
      </w:r>
      <w:r>
        <w:rPr>
          <w:spacing w:val="-19"/>
          <w:w w:val="105"/>
        </w:rPr>
        <w:t> </w:t>
      </w:r>
      <w:r>
        <w:rPr>
          <w:w w:val="105"/>
        </w:rPr>
        <w:t>patrimoniale</w:t>
      </w:r>
      <w:r>
        <w:rPr>
          <w:spacing w:val="-19"/>
          <w:w w:val="105"/>
        </w:rPr>
        <w:t> </w:t>
      </w:r>
      <w:r>
        <w:rPr>
          <w:w w:val="105"/>
        </w:rPr>
        <w:t>al</w:t>
      </w:r>
      <w:r>
        <w:rPr>
          <w:spacing w:val="-20"/>
          <w:w w:val="105"/>
        </w:rPr>
        <w:t> </w:t>
      </w:r>
      <w:r>
        <w:rPr>
          <w:w w:val="105"/>
        </w:rPr>
        <w:t>15</w:t>
      </w:r>
      <w:r>
        <w:rPr>
          <w:spacing w:val="-19"/>
          <w:w w:val="105"/>
        </w:rPr>
        <w:t> </w:t>
      </w:r>
      <w:r>
        <w:rPr>
          <w:w w:val="105"/>
        </w:rPr>
        <w:t>ottobre</w:t>
      </w:r>
      <w:r>
        <w:rPr>
          <w:spacing w:val="-20"/>
          <w:w w:val="105"/>
        </w:rPr>
        <w:t> </w:t>
      </w:r>
      <w:bookmarkEnd w:id="7"/>
      <w:r>
        <w:rPr>
          <w:w w:val="105"/>
        </w:rPr>
        <w:t>2017</w:t>
      </w:r>
    </w:p>
    <w:p>
      <w:pPr>
        <w:pStyle w:val="BodyText"/>
        <w:spacing w:before="1"/>
        <w:rPr>
          <w:b/>
          <w:sz w:val="23"/>
        </w:rPr>
      </w:pPr>
    </w:p>
    <w:p>
      <w:pPr>
        <w:pStyle w:val="BodyText"/>
        <w:spacing w:line="494" w:lineRule="auto"/>
        <w:ind w:left="400" w:right="2200"/>
      </w:pPr>
      <w:r>
        <w:rPr>
          <w:w w:val="105"/>
        </w:rPr>
        <w:t>Si riporta nella tabella che segue la situazione patrimoniale aggiornata alla data del 15 ottobre 2017:</w:t>
      </w:r>
    </w:p>
    <w:p>
      <w:pPr>
        <w:spacing w:after="0" w:line="494" w:lineRule="auto"/>
        <w:sectPr>
          <w:pgSz w:w="12240" w:h="15840"/>
          <w:pgMar w:header="0" w:footer="790" w:top="1500" w:bottom="980" w:left="1720" w:right="1200"/>
        </w:sectPr>
      </w:pPr>
    </w:p>
    <w:p>
      <w:pPr>
        <w:tabs>
          <w:tab w:pos="6709" w:val="left" w:leader="none"/>
        </w:tabs>
        <w:spacing w:before="115"/>
        <w:ind w:left="0" w:right="1791" w:firstLine="0"/>
        <w:jc w:val="center"/>
        <w:rPr>
          <w:rFonts w:ascii="Times New Roman"/>
          <w:b/>
          <w:sz w:val="13"/>
        </w:rPr>
      </w:pPr>
      <w:r>
        <w:rPr>
          <w:rFonts w:ascii="Times New Roman"/>
          <w:b/>
          <w:color w:val="FFFFFF"/>
          <w:spacing w:val="-16"/>
          <w:w w:val="98"/>
          <w:sz w:val="13"/>
          <w:shd w:fill="888B8E" w:color="auto" w:val="clear"/>
        </w:rPr>
        <w:t> </w:t>
      </w:r>
      <w:r>
        <w:rPr>
          <w:rFonts w:ascii="Times New Roman"/>
          <w:b/>
          <w:color w:val="FFFFFF"/>
          <w:sz w:val="13"/>
          <w:shd w:fill="888B8E" w:color="auto" w:val="clear"/>
        </w:rPr>
        <w:t>Situazione </w:t>
      </w:r>
      <w:r>
        <w:rPr>
          <w:rFonts w:ascii="Times New Roman"/>
          <w:b/>
          <w:color w:val="FFFFFF"/>
          <w:spacing w:val="-3"/>
          <w:sz w:val="13"/>
          <w:shd w:fill="888B8E" w:color="auto" w:val="clear"/>
        </w:rPr>
        <w:t>Patrimoniale al </w:t>
      </w:r>
      <w:r>
        <w:rPr>
          <w:rFonts w:ascii="Times New Roman"/>
          <w:b/>
          <w:color w:val="FFFFFF"/>
          <w:sz w:val="13"/>
          <w:shd w:fill="888B8E" w:color="auto" w:val="clear"/>
        </w:rPr>
        <w:t>15 ottobre</w:t>
      </w:r>
      <w:r>
        <w:rPr>
          <w:rFonts w:ascii="Times New Roman"/>
          <w:b/>
          <w:color w:val="FFFFFF"/>
          <w:spacing w:val="14"/>
          <w:sz w:val="13"/>
          <w:shd w:fill="888B8E" w:color="auto" w:val="clear"/>
        </w:rPr>
        <w:t> </w:t>
      </w:r>
      <w:r>
        <w:rPr>
          <w:rFonts w:ascii="Times New Roman"/>
          <w:b/>
          <w:color w:val="FFFFFF"/>
          <w:spacing w:val="3"/>
          <w:sz w:val="13"/>
          <w:shd w:fill="888B8E" w:color="auto" w:val="clear"/>
        </w:rPr>
        <w:t>2017</w:t>
        <w:tab/>
      </w:r>
    </w:p>
    <w:p>
      <w:pPr>
        <w:pStyle w:val="BodyText"/>
        <w:spacing w:before="6" w:after="1"/>
        <w:rPr>
          <w:rFonts w:ascii="Times New Roman"/>
          <w:b/>
          <w:sz w:val="15"/>
        </w:rPr>
      </w:pPr>
    </w:p>
    <w:tbl>
      <w:tblPr>
        <w:tblW w:w="0" w:type="auto"/>
        <w:jc w:val="left"/>
        <w:tblInd w:w="400" w:type="dxa"/>
        <w:tblBorders>
          <w:top w:val="nil"/>
          <w:left w:val="nil"/>
          <w:bottom w:val="nil"/>
          <w:right w:val="nil"/>
          <w:insideH w:val="nil"/>
          <w:insideV w:val="nil"/>
        </w:tblBorders>
        <w:tblLayout w:type="fixed"/>
        <w:tblCellMar>
          <w:top w:w="0" w:type="dxa"/>
          <w:left w:w="0" w:type="dxa"/>
          <w:bottom w:w="0" w:type="dxa"/>
          <w:right w:w="0" w:type="dxa"/>
        </w:tblCellMar>
        <w:tblLook w:val="01E0"/>
      </w:tblPr>
      <w:tblGrid>
        <w:gridCol w:w="2164"/>
        <w:gridCol w:w="1191"/>
        <w:gridCol w:w="2198"/>
        <w:gridCol w:w="1165"/>
      </w:tblGrid>
      <w:tr>
        <w:trPr>
          <w:trHeight w:val="180" w:hRule="exact"/>
        </w:trPr>
        <w:tc>
          <w:tcPr>
            <w:tcW w:w="3355" w:type="dxa"/>
            <w:gridSpan w:val="2"/>
            <w:tcBorders>
              <w:right w:val="single" w:sz="21" w:space="0" w:color="FFFFFF"/>
            </w:tcBorders>
            <w:shd w:val="clear" w:color="auto" w:fill="A03033"/>
          </w:tcPr>
          <w:p>
            <w:pPr>
              <w:pStyle w:val="TableParagraph"/>
              <w:tabs>
                <w:tab w:pos="2729" w:val="left" w:leader="none"/>
              </w:tabs>
              <w:spacing w:before="14"/>
              <w:ind w:left="1027"/>
              <w:rPr>
                <w:b/>
                <w:sz w:val="13"/>
              </w:rPr>
            </w:pPr>
            <w:r>
              <w:rPr>
                <w:b/>
                <w:color w:val="FFFFFF"/>
                <w:sz w:val="13"/>
              </w:rPr>
              <w:t>ATTIVO</w:t>
              <w:tab/>
              <w:t>Importo</w:t>
            </w:r>
          </w:p>
        </w:tc>
        <w:tc>
          <w:tcPr>
            <w:tcW w:w="2198" w:type="dxa"/>
            <w:tcBorders>
              <w:left w:val="single" w:sz="21" w:space="0" w:color="FFFFFF"/>
            </w:tcBorders>
            <w:shd w:val="clear" w:color="auto" w:fill="A03033"/>
          </w:tcPr>
          <w:p>
            <w:pPr>
              <w:pStyle w:val="TableParagraph"/>
              <w:spacing w:before="14"/>
              <w:ind w:left="1000"/>
              <w:rPr>
                <w:b/>
                <w:sz w:val="13"/>
              </w:rPr>
            </w:pPr>
            <w:r>
              <w:rPr>
                <w:b/>
                <w:color w:val="FFFFFF"/>
                <w:sz w:val="13"/>
              </w:rPr>
              <w:t>PASSIVO</w:t>
            </w:r>
          </w:p>
        </w:tc>
        <w:tc>
          <w:tcPr>
            <w:tcW w:w="1165" w:type="dxa"/>
            <w:shd w:val="clear" w:color="auto" w:fill="A03033"/>
          </w:tcPr>
          <w:p>
            <w:pPr>
              <w:pStyle w:val="TableParagraph"/>
              <w:spacing w:before="14"/>
              <w:ind w:right="157"/>
              <w:jc w:val="right"/>
              <w:rPr>
                <w:b/>
                <w:sz w:val="13"/>
              </w:rPr>
            </w:pPr>
            <w:r>
              <w:rPr>
                <w:b/>
                <w:color w:val="FFFFFF"/>
                <w:w w:val="95"/>
                <w:sz w:val="13"/>
              </w:rPr>
              <w:t>Importo</w:t>
            </w:r>
          </w:p>
        </w:tc>
      </w:tr>
      <w:tr>
        <w:trPr>
          <w:trHeight w:val="166" w:hRule="exact"/>
        </w:trPr>
        <w:tc>
          <w:tcPr>
            <w:tcW w:w="3355" w:type="dxa"/>
            <w:gridSpan w:val="2"/>
          </w:tcPr>
          <w:p>
            <w:pPr/>
          </w:p>
        </w:tc>
        <w:tc>
          <w:tcPr>
            <w:tcW w:w="2198" w:type="dxa"/>
            <w:tcBorders>
              <w:bottom w:val="single" w:sz="4" w:space="0" w:color="000000"/>
            </w:tcBorders>
          </w:tcPr>
          <w:p>
            <w:pPr/>
          </w:p>
        </w:tc>
        <w:tc>
          <w:tcPr>
            <w:tcW w:w="1165" w:type="dxa"/>
            <w:tcBorders>
              <w:bottom w:val="single" w:sz="4" w:space="0" w:color="000000"/>
            </w:tcBorders>
          </w:tcPr>
          <w:p>
            <w:pPr/>
          </w:p>
        </w:tc>
      </w:tr>
      <w:tr>
        <w:trPr>
          <w:trHeight w:val="180" w:hRule="exact"/>
        </w:trPr>
        <w:tc>
          <w:tcPr>
            <w:tcW w:w="3355" w:type="dxa"/>
            <w:gridSpan w:val="2"/>
          </w:tcPr>
          <w:p>
            <w:pPr>
              <w:pStyle w:val="TableParagraph"/>
              <w:tabs>
                <w:tab w:pos="3183" w:val="right" w:leader="none"/>
              </w:tabs>
              <w:spacing w:before="15"/>
              <w:ind w:left="25"/>
              <w:rPr>
                <w:sz w:val="13"/>
              </w:rPr>
            </w:pPr>
            <w:r>
              <w:rPr>
                <w:spacing w:val="-6"/>
                <w:sz w:val="13"/>
              </w:rPr>
              <w:t>Immobilizzazioni</w:t>
            </w:r>
            <w:r>
              <w:rPr>
                <w:spacing w:val="-10"/>
                <w:sz w:val="13"/>
              </w:rPr>
              <w:t> </w:t>
            </w:r>
            <w:r>
              <w:rPr>
                <w:spacing w:val="-3"/>
                <w:sz w:val="13"/>
              </w:rPr>
              <w:t>Immateriali</w:t>
              <w:tab/>
            </w:r>
            <w:r>
              <w:rPr>
                <w:spacing w:val="-4"/>
                <w:sz w:val="13"/>
              </w:rPr>
              <w:t>6.144.529</w:t>
            </w:r>
          </w:p>
        </w:tc>
        <w:tc>
          <w:tcPr>
            <w:tcW w:w="2198" w:type="dxa"/>
            <w:tcBorders>
              <w:top w:val="single" w:sz="4" w:space="0" w:color="000000"/>
            </w:tcBorders>
          </w:tcPr>
          <w:p>
            <w:pPr>
              <w:pStyle w:val="TableParagraph"/>
              <w:spacing w:before="4"/>
              <w:ind w:left="50"/>
              <w:rPr>
                <w:b/>
                <w:sz w:val="13"/>
              </w:rPr>
            </w:pPr>
            <w:r>
              <w:rPr>
                <w:b/>
                <w:sz w:val="13"/>
              </w:rPr>
              <w:t>Patrimonio netto</w:t>
            </w:r>
          </w:p>
        </w:tc>
        <w:tc>
          <w:tcPr>
            <w:tcW w:w="1165" w:type="dxa"/>
            <w:tcBorders>
              <w:top w:val="single" w:sz="4" w:space="0" w:color="000000"/>
            </w:tcBorders>
          </w:tcPr>
          <w:p>
            <w:pPr>
              <w:pStyle w:val="TableParagraph"/>
              <w:spacing w:before="4"/>
              <w:ind w:right="36"/>
              <w:jc w:val="right"/>
              <w:rPr>
                <w:b/>
                <w:sz w:val="13"/>
              </w:rPr>
            </w:pPr>
            <w:r>
              <w:rPr>
                <w:b/>
                <w:w w:val="95"/>
                <w:sz w:val="13"/>
              </w:rPr>
              <w:t>(95.280.194)</w:t>
            </w:r>
          </w:p>
        </w:tc>
      </w:tr>
      <w:tr>
        <w:trPr>
          <w:trHeight w:val="340" w:hRule="exact"/>
        </w:trPr>
        <w:tc>
          <w:tcPr>
            <w:tcW w:w="3355" w:type="dxa"/>
            <w:gridSpan w:val="2"/>
          </w:tcPr>
          <w:p>
            <w:pPr>
              <w:pStyle w:val="TableParagraph"/>
              <w:tabs>
                <w:tab w:pos="3183" w:val="right" w:leader="none"/>
              </w:tabs>
              <w:spacing w:before="7"/>
              <w:ind w:left="25"/>
              <w:rPr>
                <w:sz w:val="13"/>
              </w:rPr>
            </w:pPr>
            <w:r>
              <w:rPr>
                <w:spacing w:val="-6"/>
                <w:sz w:val="13"/>
              </w:rPr>
              <w:t>Immobilizzazioni</w:t>
            </w:r>
            <w:r>
              <w:rPr>
                <w:spacing w:val="-10"/>
                <w:sz w:val="13"/>
              </w:rPr>
              <w:t> </w:t>
            </w:r>
            <w:r>
              <w:rPr>
                <w:spacing w:val="-3"/>
                <w:sz w:val="13"/>
              </w:rPr>
              <w:t>Materiali</w:t>
              <w:tab/>
            </w:r>
            <w:r>
              <w:rPr>
                <w:spacing w:val="-4"/>
                <w:sz w:val="13"/>
              </w:rPr>
              <w:t>4.012.043</w:t>
            </w:r>
          </w:p>
          <w:p>
            <w:pPr>
              <w:pStyle w:val="TableParagraph"/>
              <w:tabs>
                <w:tab w:pos="2773" w:val="left" w:leader="none"/>
                <w:tab w:pos="3328" w:val="left" w:leader="none"/>
              </w:tabs>
              <w:spacing w:before="21"/>
              <w:rPr>
                <w:sz w:val="13"/>
              </w:rPr>
            </w:pPr>
            <w:r>
              <w:rPr>
                <w:spacing w:val="-7"/>
                <w:w w:val="98"/>
                <w:sz w:val="13"/>
                <w:u w:val="single"/>
              </w:rPr>
              <w:t> </w:t>
            </w:r>
            <w:r>
              <w:rPr>
                <w:spacing w:val="-6"/>
                <w:sz w:val="13"/>
                <w:u w:val="single"/>
              </w:rPr>
              <w:t>Immobilizzazioni</w:t>
            </w:r>
            <w:r>
              <w:rPr>
                <w:spacing w:val="-11"/>
                <w:sz w:val="13"/>
                <w:u w:val="single"/>
              </w:rPr>
              <w:t> </w:t>
            </w:r>
            <w:r>
              <w:rPr>
                <w:spacing w:val="-5"/>
                <w:sz w:val="13"/>
                <w:u w:val="single"/>
              </w:rPr>
              <w:t>Finanziarie</w:t>
              <w:tab/>
            </w:r>
            <w:r>
              <w:rPr>
                <w:spacing w:val="-4"/>
                <w:sz w:val="13"/>
                <w:u w:val="single"/>
              </w:rPr>
              <w:t>59.750</w:t>
              <w:tab/>
            </w:r>
          </w:p>
        </w:tc>
        <w:tc>
          <w:tcPr>
            <w:tcW w:w="2198" w:type="dxa"/>
          </w:tcPr>
          <w:p>
            <w:pPr>
              <w:pStyle w:val="TableParagraph"/>
              <w:spacing w:before="0"/>
              <w:rPr>
                <w:b/>
                <w:sz w:val="15"/>
              </w:rPr>
            </w:pPr>
          </w:p>
          <w:p>
            <w:pPr>
              <w:pStyle w:val="TableParagraph"/>
              <w:spacing w:before="1"/>
              <w:ind w:left="50"/>
              <w:rPr>
                <w:b/>
                <w:sz w:val="13"/>
              </w:rPr>
            </w:pPr>
            <w:r>
              <w:rPr>
                <w:b/>
                <w:sz w:val="13"/>
              </w:rPr>
              <w:t>Fondi per rischi e oneri</w:t>
            </w:r>
          </w:p>
        </w:tc>
        <w:tc>
          <w:tcPr>
            <w:tcW w:w="1165" w:type="dxa"/>
          </w:tcPr>
          <w:p>
            <w:pPr>
              <w:pStyle w:val="TableParagraph"/>
              <w:spacing w:before="0"/>
              <w:rPr>
                <w:b/>
                <w:sz w:val="15"/>
              </w:rPr>
            </w:pPr>
          </w:p>
          <w:p>
            <w:pPr>
              <w:pStyle w:val="TableParagraph"/>
              <w:spacing w:before="1"/>
              <w:ind w:right="83"/>
              <w:jc w:val="right"/>
              <w:rPr>
                <w:b/>
                <w:sz w:val="13"/>
              </w:rPr>
            </w:pPr>
            <w:r>
              <w:rPr>
                <w:b/>
                <w:w w:val="95"/>
                <w:sz w:val="13"/>
              </w:rPr>
              <w:t>20.217.388</w:t>
            </w:r>
          </w:p>
        </w:tc>
      </w:tr>
      <w:tr>
        <w:trPr>
          <w:trHeight w:val="168" w:hRule="exact"/>
        </w:trPr>
        <w:tc>
          <w:tcPr>
            <w:tcW w:w="3355" w:type="dxa"/>
            <w:gridSpan w:val="2"/>
          </w:tcPr>
          <w:p>
            <w:pPr>
              <w:pStyle w:val="TableParagraph"/>
              <w:tabs>
                <w:tab w:pos="3252" w:val="right" w:leader="none"/>
              </w:tabs>
              <w:spacing w:before="4"/>
              <w:ind w:left="25"/>
              <w:rPr>
                <w:b/>
                <w:sz w:val="13"/>
              </w:rPr>
            </w:pPr>
            <w:r>
              <w:rPr>
                <w:b/>
                <w:sz w:val="13"/>
              </w:rPr>
              <w:t>Attivo</w:t>
            </w:r>
            <w:r>
              <w:rPr>
                <w:b/>
                <w:spacing w:val="4"/>
                <w:sz w:val="13"/>
              </w:rPr>
              <w:t> </w:t>
            </w:r>
            <w:r>
              <w:rPr>
                <w:b/>
                <w:spacing w:val="-3"/>
                <w:sz w:val="13"/>
              </w:rPr>
              <w:t>immobilizzato</w:t>
              <w:tab/>
            </w:r>
            <w:r>
              <w:rPr>
                <w:b/>
                <w:spacing w:val="3"/>
                <w:sz w:val="13"/>
              </w:rPr>
              <w:t>10.216.322</w:t>
            </w:r>
          </w:p>
        </w:tc>
        <w:tc>
          <w:tcPr>
            <w:tcW w:w="2198" w:type="dxa"/>
          </w:tcPr>
          <w:p>
            <w:pPr/>
          </w:p>
        </w:tc>
        <w:tc>
          <w:tcPr>
            <w:tcW w:w="1165" w:type="dxa"/>
          </w:tcPr>
          <w:p>
            <w:pPr/>
          </w:p>
        </w:tc>
      </w:tr>
      <w:tr>
        <w:trPr>
          <w:trHeight w:val="260" w:hRule="exact"/>
        </w:trPr>
        <w:tc>
          <w:tcPr>
            <w:tcW w:w="3355" w:type="dxa"/>
            <w:gridSpan w:val="2"/>
          </w:tcPr>
          <w:p>
            <w:pPr/>
          </w:p>
        </w:tc>
        <w:tc>
          <w:tcPr>
            <w:tcW w:w="2198" w:type="dxa"/>
          </w:tcPr>
          <w:p>
            <w:pPr>
              <w:pStyle w:val="TableParagraph"/>
              <w:spacing w:before="7"/>
              <w:ind w:left="50"/>
              <w:rPr>
                <w:b/>
                <w:sz w:val="13"/>
              </w:rPr>
            </w:pPr>
            <w:r>
              <w:rPr>
                <w:b/>
                <w:sz w:val="13"/>
              </w:rPr>
              <w:t>TFR</w:t>
            </w:r>
          </w:p>
        </w:tc>
        <w:tc>
          <w:tcPr>
            <w:tcW w:w="1165" w:type="dxa"/>
          </w:tcPr>
          <w:p>
            <w:pPr>
              <w:pStyle w:val="TableParagraph"/>
              <w:spacing w:before="7"/>
              <w:ind w:right="169"/>
              <w:jc w:val="right"/>
              <w:rPr>
                <w:b/>
                <w:sz w:val="13"/>
              </w:rPr>
            </w:pPr>
            <w:r>
              <w:rPr>
                <w:b/>
                <w:w w:val="95"/>
                <w:sz w:val="13"/>
              </w:rPr>
              <w:t>723.170</w:t>
            </w:r>
          </w:p>
        </w:tc>
      </w:tr>
      <w:tr>
        <w:trPr>
          <w:trHeight w:val="260" w:hRule="exact"/>
        </w:trPr>
        <w:tc>
          <w:tcPr>
            <w:tcW w:w="3355" w:type="dxa"/>
            <w:gridSpan w:val="2"/>
          </w:tcPr>
          <w:p>
            <w:pPr>
              <w:pStyle w:val="TableParagraph"/>
              <w:tabs>
                <w:tab w:pos="3221" w:val="right" w:leader="none"/>
              </w:tabs>
              <w:spacing w:before="96"/>
              <w:ind w:left="25"/>
              <w:rPr>
                <w:sz w:val="13"/>
              </w:rPr>
            </w:pPr>
            <w:r>
              <w:rPr>
                <w:spacing w:val="-3"/>
                <w:sz w:val="13"/>
              </w:rPr>
              <w:t>Crediti</w:t>
            </w:r>
            <w:r>
              <w:rPr>
                <w:spacing w:val="-10"/>
                <w:sz w:val="13"/>
              </w:rPr>
              <w:t> </w:t>
            </w:r>
            <w:r>
              <w:rPr>
                <w:sz w:val="13"/>
              </w:rPr>
              <w:t>verso</w:t>
            </w:r>
            <w:r>
              <w:rPr>
                <w:spacing w:val="-3"/>
                <w:sz w:val="13"/>
              </w:rPr>
              <w:t> </w:t>
            </w:r>
            <w:r>
              <w:rPr>
                <w:spacing w:val="-4"/>
                <w:sz w:val="13"/>
              </w:rPr>
              <w:t>clienti</w:t>
              <w:tab/>
              <w:t>11.655.182</w:t>
            </w:r>
          </w:p>
        </w:tc>
        <w:tc>
          <w:tcPr>
            <w:tcW w:w="2198" w:type="dxa"/>
          </w:tcPr>
          <w:p>
            <w:pPr>
              <w:pStyle w:val="TableParagraph"/>
              <w:spacing w:before="96"/>
              <w:ind w:left="51"/>
              <w:rPr>
                <w:sz w:val="13"/>
              </w:rPr>
            </w:pPr>
            <w:r>
              <w:rPr>
                <w:sz w:val="13"/>
              </w:rPr>
              <w:t>Debiti bancari</w:t>
            </w:r>
          </w:p>
        </w:tc>
        <w:tc>
          <w:tcPr>
            <w:tcW w:w="1165" w:type="dxa"/>
          </w:tcPr>
          <w:p>
            <w:pPr>
              <w:pStyle w:val="TableParagraph"/>
              <w:spacing w:before="96"/>
              <w:ind w:right="82"/>
              <w:jc w:val="right"/>
              <w:rPr>
                <w:sz w:val="13"/>
              </w:rPr>
            </w:pPr>
            <w:r>
              <w:rPr>
                <w:w w:val="95"/>
                <w:sz w:val="13"/>
              </w:rPr>
              <w:t>115.705.258</w:t>
            </w:r>
          </w:p>
        </w:tc>
      </w:tr>
      <w:tr>
        <w:trPr>
          <w:trHeight w:val="171" w:hRule="exact"/>
        </w:trPr>
        <w:tc>
          <w:tcPr>
            <w:tcW w:w="3355" w:type="dxa"/>
            <w:gridSpan w:val="2"/>
          </w:tcPr>
          <w:p>
            <w:pPr>
              <w:pStyle w:val="TableParagraph"/>
              <w:tabs>
                <w:tab w:pos="3221" w:val="right" w:leader="none"/>
              </w:tabs>
              <w:spacing w:before="7"/>
              <w:ind w:left="25"/>
              <w:rPr>
                <w:sz w:val="13"/>
              </w:rPr>
            </w:pPr>
            <w:r>
              <w:rPr>
                <w:spacing w:val="-3"/>
                <w:sz w:val="13"/>
              </w:rPr>
              <w:t>Crediti</w:t>
            </w:r>
            <w:r>
              <w:rPr>
                <w:spacing w:val="-10"/>
                <w:sz w:val="13"/>
              </w:rPr>
              <w:t> </w:t>
            </w:r>
            <w:r>
              <w:rPr>
                <w:spacing w:val="-4"/>
                <w:sz w:val="13"/>
              </w:rPr>
              <w:t>infragruppo</w:t>
              <w:tab/>
              <w:t>75.428.159</w:t>
            </w:r>
          </w:p>
        </w:tc>
        <w:tc>
          <w:tcPr>
            <w:tcW w:w="2198" w:type="dxa"/>
          </w:tcPr>
          <w:p>
            <w:pPr>
              <w:pStyle w:val="TableParagraph"/>
              <w:spacing w:before="7"/>
              <w:ind w:left="51"/>
              <w:rPr>
                <w:sz w:val="13"/>
              </w:rPr>
            </w:pPr>
            <w:r>
              <w:rPr>
                <w:sz w:val="13"/>
              </w:rPr>
              <w:t>Debiti verso fornitori</w:t>
            </w:r>
          </w:p>
        </w:tc>
        <w:tc>
          <w:tcPr>
            <w:tcW w:w="1165" w:type="dxa"/>
          </w:tcPr>
          <w:p>
            <w:pPr>
              <w:pStyle w:val="TableParagraph"/>
              <w:spacing w:before="7"/>
              <w:ind w:right="143"/>
              <w:jc w:val="right"/>
              <w:rPr>
                <w:sz w:val="13"/>
              </w:rPr>
            </w:pPr>
            <w:r>
              <w:rPr>
                <w:w w:val="95"/>
                <w:sz w:val="13"/>
              </w:rPr>
              <w:t>9.887.079</w:t>
            </w:r>
          </w:p>
        </w:tc>
      </w:tr>
      <w:tr>
        <w:trPr>
          <w:trHeight w:val="171" w:hRule="exact"/>
        </w:trPr>
        <w:tc>
          <w:tcPr>
            <w:tcW w:w="3355" w:type="dxa"/>
            <w:gridSpan w:val="2"/>
          </w:tcPr>
          <w:p>
            <w:pPr>
              <w:pStyle w:val="TableParagraph"/>
              <w:tabs>
                <w:tab w:pos="3183" w:val="right" w:leader="none"/>
              </w:tabs>
              <w:spacing w:before="7"/>
              <w:ind w:left="25"/>
              <w:rPr>
                <w:sz w:val="13"/>
              </w:rPr>
            </w:pPr>
            <w:r>
              <w:rPr>
                <w:spacing w:val="-3"/>
                <w:sz w:val="13"/>
              </w:rPr>
              <w:t>Crediti tributari</w:t>
            </w:r>
            <w:r>
              <w:rPr>
                <w:spacing w:val="-17"/>
                <w:sz w:val="13"/>
              </w:rPr>
              <w:t> </w:t>
            </w:r>
            <w:r>
              <w:rPr>
                <w:sz w:val="13"/>
              </w:rPr>
              <w:t>e</w:t>
            </w:r>
            <w:r>
              <w:rPr>
                <w:spacing w:val="4"/>
                <w:sz w:val="13"/>
              </w:rPr>
              <w:t> </w:t>
            </w:r>
            <w:r>
              <w:rPr>
                <w:spacing w:val="-4"/>
                <w:sz w:val="13"/>
              </w:rPr>
              <w:t>previdenziali</w:t>
              <w:tab/>
              <w:t>1.013.293</w:t>
            </w:r>
          </w:p>
        </w:tc>
        <w:tc>
          <w:tcPr>
            <w:tcW w:w="2198" w:type="dxa"/>
          </w:tcPr>
          <w:p>
            <w:pPr>
              <w:pStyle w:val="TableParagraph"/>
              <w:spacing w:before="7"/>
              <w:ind w:left="51"/>
              <w:rPr>
                <w:sz w:val="13"/>
              </w:rPr>
            </w:pPr>
            <w:r>
              <w:rPr>
                <w:sz w:val="13"/>
              </w:rPr>
              <w:t>Debiti Infragruppo</w:t>
            </w:r>
          </w:p>
        </w:tc>
        <w:tc>
          <w:tcPr>
            <w:tcW w:w="1165" w:type="dxa"/>
          </w:tcPr>
          <w:p>
            <w:pPr>
              <w:pStyle w:val="TableParagraph"/>
              <w:spacing w:before="7"/>
              <w:ind w:right="117"/>
              <w:jc w:val="right"/>
              <w:rPr>
                <w:sz w:val="13"/>
              </w:rPr>
            </w:pPr>
            <w:r>
              <w:rPr>
                <w:w w:val="95"/>
                <w:sz w:val="13"/>
              </w:rPr>
              <w:t>29.227.025</w:t>
            </w:r>
          </w:p>
        </w:tc>
      </w:tr>
      <w:tr>
        <w:trPr>
          <w:trHeight w:val="172" w:hRule="exact"/>
        </w:trPr>
        <w:tc>
          <w:tcPr>
            <w:tcW w:w="3355" w:type="dxa"/>
            <w:gridSpan w:val="2"/>
          </w:tcPr>
          <w:p>
            <w:pPr>
              <w:pStyle w:val="TableParagraph"/>
              <w:tabs>
                <w:tab w:pos="3183" w:val="right" w:leader="none"/>
              </w:tabs>
              <w:spacing w:before="7"/>
              <w:ind w:left="25"/>
              <w:rPr>
                <w:sz w:val="13"/>
              </w:rPr>
            </w:pPr>
            <w:r>
              <w:rPr>
                <w:spacing w:val="-3"/>
                <w:sz w:val="13"/>
              </w:rPr>
              <w:t>Imposte</w:t>
            </w:r>
            <w:r>
              <w:rPr>
                <w:spacing w:val="3"/>
                <w:sz w:val="13"/>
              </w:rPr>
              <w:t> </w:t>
            </w:r>
            <w:r>
              <w:rPr>
                <w:spacing w:val="-3"/>
                <w:sz w:val="13"/>
              </w:rPr>
              <w:t>anticipate</w:t>
              <w:tab/>
            </w:r>
            <w:r>
              <w:rPr>
                <w:spacing w:val="-4"/>
                <w:sz w:val="13"/>
              </w:rPr>
              <w:t>1.678.294</w:t>
            </w:r>
          </w:p>
        </w:tc>
        <w:tc>
          <w:tcPr>
            <w:tcW w:w="2198" w:type="dxa"/>
          </w:tcPr>
          <w:p>
            <w:pPr>
              <w:pStyle w:val="TableParagraph"/>
              <w:spacing w:before="7"/>
              <w:ind w:left="51"/>
              <w:rPr>
                <w:sz w:val="13"/>
              </w:rPr>
            </w:pPr>
            <w:r>
              <w:rPr>
                <w:sz w:val="13"/>
              </w:rPr>
              <w:t>Debiti tributari e previdenziali</w:t>
            </w:r>
          </w:p>
        </w:tc>
        <w:tc>
          <w:tcPr>
            <w:tcW w:w="1165" w:type="dxa"/>
          </w:tcPr>
          <w:p>
            <w:pPr>
              <w:pStyle w:val="TableParagraph"/>
              <w:spacing w:before="7"/>
              <w:ind w:right="142"/>
              <w:jc w:val="right"/>
              <w:rPr>
                <w:sz w:val="13"/>
              </w:rPr>
            </w:pPr>
            <w:r>
              <w:rPr>
                <w:w w:val="95"/>
                <w:sz w:val="13"/>
              </w:rPr>
              <w:t>1.102.014</w:t>
            </w:r>
          </w:p>
        </w:tc>
      </w:tr>
      <w:tr>
        <w:trPr>
          <w:trHeight w:val="157" w:hRule="exact"/>
        </w:trPr>
        <w:tc>
          <w:tcPr>
            <w:tcW w:w="3355" w:type="dxa"/>
            <w:gridSpan w:val="2"/>
          </w:tcPr>
          <w:p>
            <w:pPr>
              <w:pStyle w:val="TableParagraph"/>
              <w:tabs>
                <w:tab w:pos="3030" w:val="right" w:leader="none"/>
              </w:tabs>
              <w:spacing w:before="7"/>
              <w:ind w:left="25"/>
              <w:rPr>
                <w:sz w:val="13"/>
              </w:rPr>
            </w:pPr>
            <w:r>
              <w:rPr>
                <w:spacing w:val="-3"/>
                <w:sz w:val="13"/>
              </w:rPr>
              <w:t>Altri</w:t>
            </w:r>
            <w:r>
              <w:rPr>
                <w:spacing w:val="-10"/>
                <w:sz w:val="13"/>
              </w:rPr>
              <w:t> </w:t>
            </w:r>
            <w:r>
              <w:rPr>
                <w:sz w:val="13"/>
              </w:rPr>
              <w:t>crediti</w:t>
              <w:tab/>
            </w:r>
            <w:r>
              <w:rPr>
                <w:spacing w:val="-5"/>
                <w:sz w:val="13"/>
              </w:rPr>
              <w:t>251</w:t>
            </w:r>
          </w:p>
        </w:tc>
        <w:tc>
          <w:tcPr>
            <w:tcW w:w="2198" w:type="dxa"/>
          </w:tcPr>
          <w:p>
            <w:pPr>
              <w:pStyle w:val="TableParagraph"/>
              <w:spacing w:before="7"/>
              <w:ind w:left="51"/>
              <w:rPr>
                <w:sz w:val="13"/>
              </w:rPr>
            </w:pPr>
            <w:r>
              <w:rPr>
                <w:sz w:val="13"/>
              </w:rPr>
              <w:t>Debiti verso dipendenti</w:t>
            </w:r>
          </w:p>
        </w:tc>
        <w:tc>
          <w:tcPr>
            <w:tcW w:w="1165" w:type="dxa"/>
          </w:tcPr>
          <w:p>
            <w:pPr>
              <w:pStyle w:val="TableParagraph"/>
              <w:spacing w:before="7"/>
              <w:ind w:right="194"/>
              <w:jc w:val="right"/>
              <w:rPr>
                <w:sz w:val="13"/>
              </w:rPr>
            </w:pPr>
            <w:r>
              <w:rPr>
                <w:sz w:val="13"/>
              </w:rPr>
              <w:t>444.959</w:t>
            </w:r>
          </w:p>
        </w:tc>
      </w:tr>
      <w:tr>
        <w:trPr>
          <w:trHeight w:val="182" w:hRule="exact"/>
        </w:trPr>
        <w:tc>
          <w:tcPr>
            <w:tcW w:w="6718" w:type="dxa"/>
            <w:gridSpan w:val="4"/>
          </w:tcPr>
          <w:p>
            <w:pPr>
              <w:pStyle w:val="TableParagraph"/>
              <w:tabs>
                <w:tab w:pos="2695" w:val="left" w:leader="none"/>
                <w:tab w:pos="6050" w:val="left" w:leader="none"/>
              </w:tabs>
              <w:spacing w:before="21"/>
              <w:rPr>
                <w:sz w:val="13"/>
              </w:rPr>
            </w:pPr>
            <w:r>
              <w:rPr>
                <w:spacing w:val="-7"/>
                <w:w w:val="98"/>
                <w:sz w:val="13"/>
                <w:u w:val="single"/>
              </w:rPr>
              <w:t> </w:t>
            </w:r>
            <w:r>
              <w:rPr>
                <w:spacing w:val="-6"/>
                <w:sz w:val="13"/>
                <w:u w:val="single"/>
              </w:rPr>
              <w:t>Disponibilità</w:t>
            </w:r>
            <w:r>
              <w:rPr>
                <w:spacing w:val="2"/>
                <w:sz w:val="13"/>
                <w:u w:val="single"/>
              </w:rPr>
              <w:t> </w:t>
            </w:r>
            <w:r>
              <w:rPr>
                <w:spacing w:val="-7"/>
                <w:sz w:val="13"/>
                <w:u w:val="single"/>
              </w:rPr>
              <w:t>liquide</w:t>
              <w:tab/>
            </w:r>
            <w:r>
              <w:rPr>
                <w:spacing w:val="-3"/>
                <w:sz w:val="13"/>
                <w:u w:val="single"/>
              </w:rPr>
              <w:t>1.125.466      </w:t>
            </w:r>
            <w:r>
              <w:rPr>
                <w:sz w:val="13"/>
                <w:u w:val="single"/>
              </w:rPr>
              <w:t> </w:t>
            </w:r>
            <w:r>
              <w:rPr>
                <w:spacing w:val="-3"/>
                <w:sz w:val="13"/>
                <w:u w:val="single"/>
              </w:rPr>
              <w:t>Debiti</w:t>
            </w:r>
            <w:r>
              <w:rPr>
                <w:spacing w:val="-10"/>
                <w:sz w:val="13"/>
                <w:u w:val="single"/>
              </w:rPr>
              <w:t> </w:t>
            </w:r>
            <w:r>
              <w:rPr>
                <w:spacing w:val="-3"/>
                <w:sz w:val="13"/>
                <w:u w:val="single"/>
              </w:rPr>
              <w:t>diversi</w:t>
              <w:tab/>
            </w:r>
            <w:r>
              <w:rPr>
                <w:spacing w:val="-4"/>
                <w:sz w:val="13"/>
                <w:u w:val="single"/>
              </w:rPr>
              <w:t>15.138.153</w:t>
            </w:r>
            <w:r>
              <w:rPr>
                <w:spacing w:val="-15"/>
                <w:sz w:val="13"/>
                <w:u w:val="single"/>
              </w:rPr>
              <w:t> </w:t>
            </w:r>
          </w:p>
        </w:tc>
      </w:tr>
      <w:tr>
        <w:trPr>
          <w:trHeight w:val="338" w:hRule="exact"/>
        </w:trPr>
        <w:tc>
          <w:tcPr>
            <w:tcW w:w="2164" w:type="dxa"/>
            <w:tcBorders>
              <w:bottom w:val="single" w:sz="3" w:space="0" w:color="000000"/>
            </w:tcBorders>
          </w:tcPr>
          <w:p>
            <w:pPr>
              <w:pStyle w:val="TableParagraph"/>
              <w:spacing w:line="143" w:lineRule="exact" w:before="0"/>
              <w:ind w:left="25"/>
              <w:rPr>
                <w:b/>
                <w:sz w:val="13"/>
              </w:rPr>
            </w:pPr>
            <w:r>
              <w:rPr>
                <w:b/>
                <w:sz w:val="13"/>
              </w:rPr>
              <w:t>Attivo circolante</w:t>
            </w:r>
          </w:p>
        </w:tc>
        <w:tc>
          <w:tcPr>
            <w:tcW w:w="1191" w:type="dxa"/>
            <w:tcBorders>
              <w:bottom w:val="single" w:sz="3" w:space="0" w:color="000000"/>
            </w:tcBorders>
          </w:tcPr>
          <w:p>
            <w:pPr>
              <w:pStyle w:val="TableParagraph"/>
              <w:spacing w:line="143" w:lineRule="exact" w:before="0"/>
              <w:ind w:right="100"/>
              <w:jc w:val="right"/>
              <w:rPr>
                <w:b/>
                <w:sz w:val="13"/>
              </w:rPr>
            </w:pPr>
            <w:r>
              <w:rPr>
                <w:b/>
                <w:w w:val="95"/>
                <w:sz w:val="13"/>
              </w:rPr>
              <w:t>90.900.645</w:t>
            </w:r>
          </w:p>
        </w:tc>
        <w:tc>
          <w:tcPr>
            <w:tcW w:w="2198" w:type="dxa"/>
            <w:tcBorders>
              <w:bottom w:val="single" w:sz="3" w:space="0" w:color="000000"/>
            </w:tcBorders>
          </w:tcPr>
          <w:p>
            <w:pPr>
              <w:pStyle w:val="TableParagraph"/>
              <w:spacing w:line="143" w:lineRule="exact" w:before="0"/>
              <w:ind w:left="51"/>
              <w:rPr>
                <w:b/>
                <w:sz w:val="13"/>
              </w:rPr>
            </w:pPr>
            <w:r>
              <w:rPr>
                <w:b/>
                <w:sz w:val="13"/>
              </w:rPr>
              <w:t>Totale debiti</w:t>
            </w:r>
          </w:p>
        </w:tc>
        <w:tc>
          <w:tcPr>
            <w:tcW w:w="1165" w:type="dxa"/>
            <w:tcBorders>
              <w:bottom w:val="single" w:sz="3" w:space="0" w:color="000000"/>
            </w:tcBorders>
          </w:tcPr>
          <w:p>
            <w:pPr>
              <w:pStyle w:val="TableParagraph"/>
              <w:spacing w:line="143" w:lineRule="exact" w:before="0"/>
              <w:ind w:right="49"/>
              <w:jc w:val="right"/>
              <w:rPr>
                <w:b/>
                <w:sz w:val="13"/>
              </w:rPr>
            </w:pPr>
            <w:r>
              <w:rPr>
                <w:b/>
                <w:w w:val="95"/>
                <w:sz w:val="13"/>
              </w:rPr>
              <w:t>171.504.489</w:t>
            </w:r>
          </w:p>
        </w:tc>
      </w:tr>
      <w:tr>
        <w:trPr>
          <w:trHeight w:val="343" w:hRule="exact"/>
        </w:trPr>
        <w:tc>
          <w:tcPr>
            <w:tcW w:w="2164" w:type="dxa"/>
            <w:tcBorders>
              <w:top w:val="single" w:sz="3" w:space="0" w:color="000000"/>
            </w:tcBorders>
          </w:tcPr>
          <w:p>
            <w:pPr>
              <w:pStyle w:val="TableParagraph"/>
              <w:spacing w:before="6"/>
              <w:ind w:left="25"/>
              <w:rPr>
                <w:b/>
                <w:sz w:val="13"/>
              </w:rPr>
            </w:pPr>
            <w:r>
              <w:rPr>
                <w:b/>
                <w:sz w:val="13"/>
              </w:rPr>
              <w:t>Ratei e risconti</w:t>
            </w:r>
          </w:p>
        </w:tc>
        <w:tc>
          <w:tcPr>
            <w:tcW w:w="1191" w:type="dxa"/>
            <w:tcBorders>
              <w:top w:val="single" w:sz="3" w:space="0" w:color="000000"/>
            </w:tcBorders>
          </w:tcPr>
          <w:p>
            <w:pPr>
              <w:pStyle w:val="TableParagraph"/>
              <w:spacing w:before="6"/>
              <w:ind w:right="186"/>
              <w:jc w:val="right"/>
              <w:rPr>
                <w:b/>
                <w:sz w:val="13"/>
              </w:rPr>
            </w:pPr>
            <w:r>
              <w:rPr>
                <w:b/>
                <w:w w:val="95"/>
                <w:sz w:val="13"/>
              </w:rPr>
              <w:t>132.952</w:t>
            </w:r>
          </w:p>
        </w:tc>
        <w:tc>
          <w:tcPr>
            <w:tcW w:w="2198" w:type="dxa"/>
            <w:tcBorders>
              <w:top w:val="single" w:sz="3" w:space="0" w:color="000000"/>
              <w:bottom w:val="single" w:sz="4" w:space="0" w:color="000000"/>
            </w:tcBorders>
          </w:tcPr>
          <w:p>
            <w:pPr>
              <w:pStyle w:val="TableParagraph"/>
              <w:spacing w:before="6"/>
              <w:ind w:left="51"/>
              <w:rPr>
                <w:b/>
                <w:sz w:val="13"/>
              </w:rPr>
            </w:pPr>
            <w:r>
              <w:rPr>
                <w:b/>
                <w:sz w:val="13"/>
              </w:rPr>
              <w:t>Imposte differite</w:t>
            </w:r>
          </w:p>
        </w:tc>
        <w:tc>
          <w:tcPr>
            <w:tcW w:w="1165" w:type="dxa"/>
            <w:tcBorders>
              <w:top w:val="single" w:sz="3" w:space="0" w:color="000000"/>
              <w:bottom w:val="single" w:sz="4" w:space="0" w:color="000000"/>
            </w:tcBorders>
          </w:tcPr>
          <w:p>
            <w:pPr>
              <w:pStyle w:val="TableParagraph"/>
              <w:spacing w:before="6"/>
              <w:ind w:right="117"/>
              <w:jc w:val="right"/>
              <w:rPr>
                <w:b/>
                <w:sz w:val="13"/>
              </w:rPr>
            </w:pPr>
            <w:r>
              <w:rPr>
                <w:b/>
                <w:w w:val="95"/>
                <w:sz w:val="13"/>
              </w:rPr>
              <w:t>4.072.942</w:t>
            </w:r>
          </w:p>
        </w:tc>
      </w:tr>
      <w:tr>
        <w:trPr>
          <w:trHeight w:val="339" w:hRule="exact"/>
        </w:trPr>
        <w:tc>
          <w:tcPr>
            <w:tcW w:w="2164" w:type="dxa"/>
          </w:tcPr>
          <w:p>
            <w:pPr/>
          </w:p>
        </w:tc>
        <w:tc>
          <w:tcPr>
            <w:tcW w:w="1191" w:type="dxa"/>
          </w:tcPr>
          <w:p>
            <w:pPr/>
          </w:p>
        </w:tc>
        <w:tc>
          <w:tcPr>
            <w:tcW w:w="2198" w:type="dxa"/>
            <w:tcBorders>
              <w:top w:val="single" w:sz="4" w:space="0" w:color="000000"/>
            </w:tcBorders>
          </w:tcPr>
          <w:p>
            <w:pPr>
              <w:pStyle w:val="TableParagraph"/>
              <w:spacing w:before="4"/>
              <w:ind w:left="50"/>
              <w:rPr>
                <w:b/>
                <w:sz w:val="13"/>
              </w:rPr>
            </w:pPr>
            <w:r>
              <w:rPr>
                <w:b/>
                <w:sz w:val="13"/>
              </w:rPr>
              <w:t>Ratei e risconti</w:t>
            </w:r>
          </w:p>
        </w:tc>
        <w:tc>
          <w:tcPr>
            <w:tcW w:w="1165" w:type="dxa"/>
            <w:tcBorders>
              <w:top w:val="single" w:sz="4" w:space="0" w:color="000000"/>
            </w:tcBorders>
          </w:tcPr>
          <w:p>
            <w:pPr>
              <w:pStyle w:val="TableParagraph"/>
              <w:spacing w:before="4"/>
              <w:ind w:right="203"/>
              <w:jc w:val="right"/>
              <w:rPr>
                <w:b/>
                <w:sz w:val="13"/>
              </w:rPr>
            </w:pPr>
            <w:r>
              <w:rPr>
                <w:b/>
                <w:w w:val="95"/>
                <w:sz w:val="13"/>
              </w:rPr>
              <w:t>12.124</w:t>
            </w:r>
          </w:p>
        </w:tc>
      </w:tr>
      <w:tr>
        <w:trPr>
          <w:trHeight w:val="180" w:hRule="exact"/>
        </w:trPr>
        <w:tc>
          <w:tcPr>
            <w:tcW w:w="2164" w:type="dxa"/>
            <w:shd w:val="clear" w:color="auto" w:fill="888B8E"/>
          </w:tcPr>
          <w:p>
            <w:pPr>
              <w:pStyle w:val="TableParagraph"/>
              <w:spacing w:before="13"/>
              <w:ind w:left="830"/>
              <w:rPr>
                <w:b/>
                <w:sz w:val="13"/>
              </w:rPr>
            </w:pPr>
            <w:r>
              <w:rPr>
                <w:b/>
                <w:color w:val="FFFFFF"/>
                <w:sz w:val="13"/>
              </w:rPr>
              <w:t>Totale ATTIVO</w:t>
            </w:r>
          </w:p>
        </w:tc>
        <w:tc>
          <w:tcPr>
            <w:tcW w:w="1191" w:type="dxa"/>
            <w:tcBorders>
              <w:right w:val="single" w:sz="21" w:space="0" w:color="FFFFFF"/>
            </w:tcBorders>
            <w:shd w:val="clear" w:color="auto" w:fill="888B8E"/>
          </w:tcPr>
          <w:p>
            <w:pPr>
              <w:pStyle w:val="TableParagraph"/>
              <w:spacing w:before="13"/>
              <w:ind w:right="41"/>
              <w:jc w:val="right"/>
              <w:rPr>
                <w:b/>
                <w:sz w:val="13"/>
              </w:rPr>
            </w:pPr>
            <w:r>
              <w:rPr>
                <w:b/>
                <w:color w:val="FFFFFF"/>
                <w:w w:val="95"/>
                <w:sz w:val="13"/>
              </w:rPr>
              <w:t>101.249.919</w:t>
            </w:r>
          </w:p>
        </w:tc>
        <w:tc>
          <w:tcPr>
            <w:tcW w:w="2198" w:type="dxa"/>
            <w:tcBorders>
              <w:left w:val="single" w:sz="21" w:space="0" w:color="FFFFFF"/>
            </w:tcBorders>
            <w:shd w:val="clear" w:color="auto" w:fill="888B8E"/>
          </w:tcPr>
          <w:p>
            <w:pPr>
              <w:pStyle w:val="TableParagraph"/>
              <w:spacing w:before="13"/>
              <w:ind w:left="812"/>
              <w:rPr>
                <w:b/>
                <w:sz w:val="13"/>
              </w:rPr>
            </w:pPr>
            <w:r>
              <w:rPr>
                <w:b/>
                <w:color w:val="FFFFFF"/>
                <w:sz w:val="13"/>
              </w:rPr>
              <w:t>Totale PASSIVO</w:t>
            </w:r>
          </w:p>
        </w:tc>
        <w:tc>
          <w:tcPr>
            <w:tcW w:w="1165" w:type="dxa"/>
            <w:shd w:val="clear" w:color="auto" w:fill="888B8E"/>
          </w:tcPr>
          <w:p>
            <w:pPr>
              <w:pStyle w:val="TableParagraph"/>
              <w:spacing w:before="13"/>
              <w:ind w:right="49"/>
              <w:jc w:val="right"/>
              <w:rPr>
                <w:b/>
                <w:sz w:val="13"/>
              </w:rPr>
            </w:pPr>
            <w:r>
              <w:rPr>
                <w:b/>
                <w:color w:val="FFFFFF"/>
                <w:w w:val="95"/>
                <w:sz w:val="13"/>
              </w:rPr>
              <w:t>101.249.919</w:t>
            </w:r>
          </w:p>
        </w:tc>
      </w:tr>
    </w:tbl>
    <w:p>
      <w:pPr>
        <w:pStyle w:val="BodyText"/>
        <w:rPr>
          <w:rFonts w:ascii="Times New Roman"/>
          <w:b/>
          <w:sz w:val="14"/>
        </w:rPr>
      </w:pPr>
    </w:p>
    <w:p>
      <w:pPr>
        <w:pStyle w:val="BodyText"/>
        <w:spacing w:before="100"/>
        <w:ind w:left="476" w:right="2272"/>
        <w:jc w:val="center"/>
      </w:pPr>
      <w:r>
        <w:rPr>
          <w:w w:val="105"/>
        </w:rPr>
        <w:t>* * *</w:t>
      </w:r>
    </w:p>
    <w:p>
      <w:pPr>
        <w:spacing w:after="0"/>
        <w:jc w:val="center"/>
        <w:sectPr>
          <w:pgSz w:w="12240" w:h="15840"/>
          <w:pgMar w:header="0" w:footer="790" w:top="1500" w:bottom="980" w:left="1720" w:right="1200"/>
        </w:sectPr>
      </w:pPr>
    </w:p>
    <w:p>
      <w:pPr>
        <w:pStyle w:val="Heading2"/>
        <w:spacing w:before="105"/>
        <w:ind w:left="3086"/>
        <w:jc w:val="left"/>
      </w:pPr>
      <w:bookmarkStart w:name="_TOC_250044" w:id="8"/>
      <w:bookmarkEnd w:id="8"/>
      <w:r>
        <w:rPr>
          <w:w w:val="105"/>
        </w:rPr>
        <w:t>CAPITOLO 4</w:t>
      </w:r>
    </w:p>
    <w:p>
      <w:pPr>
        <w:pStyle w:val="BodyText"/>
        <w:rPr>
          <w:b/>
          <w:sz w:val="23"/>
        </w:rPr>
      </w:pPr>
    </w:p>
    <w:p>
      <w:pPr>
        <w:pStyle w:val="BodyText"/>
        <w:ind w:left="400"/>
      </w:pPr>
      <w:r>
        <w:rPr>
          <w:w w:val="105"/>
        </w:rPr>
        <w:t>Il presente capitolo è finalizzato ad illustrare:</w:t>
      </w:r>
    </w:p>
    <w:p>
      <w:pPr>
        <w:pStyle w:val="BodyText"/>
        <w:spacing w:before="1"/>
        <w:rPr>
          <w:sz w:val="23"/>
        </w:rPr>
      </w:pPr>
    </w:p>
    <w:p>
      <w:pPr>
        <w:pStyle w:val="ListParagraph"/>
        <w:numPr>
          <w:ilvl w:val="0"/>
          <w:numId w:val="10"/>
        </w:numPr>
        <w:tabs>
          <w:tab w:pos="934" w:val="left" w:leader="none"/>
          <w:tab w:pos="935" w:val="left" w:leader="none"/>
        </w:tabs>
        <w:spacing w:line="240" w:lineRule="auto" w:before="0" w:after="0"/>
        <w:ind w:left="934" w:right="0" w:hanging="401"/>
        <w:jc w:val="left"/>
        <w:rPr>
          <w:sz w:val="22"/>
        </w:rPr>
      </w:pPr>
      <w:r>
        <w:rPr>
          <w:w w:val="105"/>
          <w:sz w:val="22"/>
        </w:rPr>
        <w:t>la</w:t>
      </w:r>
      <w:r>
        <w:rPr>
          <w:spacing w:val="-16"/>
          <w:w w:val="105"/>
          <w:sz w:val="22"/>
        </w:rPr>
        <w:t> </w:t>
      </w:r>
      <w:r>
        <w:rPr>
          <w:w w:val="105"/>
          <w:sz w:val="22"/>
        </w:rPr>
        <w:t>storia</w:t>
      </w:r>
      <w:r>
        <w:rPr>
          <w:spacing w:val="-17"/>
          <w:w w:val="105"/>
          <w:sz w:val="22"/>
        </w:rPr>
        <w:t> </w:t>
      </w:r>
      <w:r>
        <w:rPr>
          <w:w w:val="105"/>
          <w:sz w:val="22"/>
        </w:rPr>
        <w:t>della</w:t>
      </w:r>
      <w:r>
        <w:rPr>
          <w:spacing w:val="-16"/>
          <w:w w:val="105"/>
          <w:sz w:val="22"/>
        </w:rPr>
        <w:t> </w:t>
      </w:r>
      <w:r>
        <w:rPr>
          <w:w w:val="105"/>
          <w:sz w:val="22"/>
        </w:rPr>
        <w:t>Società;</w:t>
      </w:r>
    </w:p>
    <w:p>
      <w:pPr>
        <w:pStyle w:val="BodyText"/>
        <w:spacing w:before="2"/>
        <w:rPr>
          <w:sz w:val="23"/>
        </w:rPr>
      </w:pPr>
    </w:p>
    <w:p>
      <w:pPr>
        <w:pStyle w:val="ListParagraph"/>
        <w:numPr>
          <w:ilvl w:val="0"/>
          <w:numId w:val="10"/>
        </w:numPr>
        <w:tabs>
          <w:tab w:pos="934" w:val="left" w:leader="none"/>
          <w:tab w:pos="935" w:val="left" w:leader="none"/>
        </w:tabs>
        <w:spacing w:line="240" w:lineRule="auto" w:before="1" w:after="0"/>
        <w:ind w:left="934" w:right="0" w:hanging="401"/>
        <w:jc w:val="left"/>
        <w:rPr>
          <w:sz w:val="22"/>
        </w:rPr>
      </w:pPr>
      <w:r>
        <w:rPr>
          <w:w w:val="105"/>
          <w:sz w:val="22"/>
        </w:rPr>
        <w:t>i  principali  accadimenti  di  gestione  a  partire  dall’esercizio   </w:t>
      </w:r>
      <w:r>
        <w:rPr>
          <w:spacing w:val="17"/>
          <w:w w:val="105"/>
          <w:sz w:val="22"/>
        </w:rPr>
        <w:t> </w:t>
      </w:r>
      <w:r>
        <w:rPr>
          <w:w w:val="105"/>
          <w:sz w:val="22"/>
        </w:rPr>
        <w:t>2013</w:t>
      </w:r>
    </w:p>
    <w:p>
      <w:pPr>
        <w:pStyle w:val="BodyText"/>
        <w:spacing w:before="10"/>
        <w:rPr>
          <w:sz w:val="13"/>
        </w:rPr>
      </w:pPr>
    </w:p>
    <w:p>
      <w:pPr>
        <w:spacing w:after="0"/>
        <w:rPr>
          <w:sz w:val="13"/>
        </w:rPr>
        <w:sectPr>
          <w:pgSz w:w="12240" w:h="15840"/>
          <w:pgMar w:header="0" w:footer="790" w:top="1500" w:bottom="980" w:left="1720" w:right="1200"/>
        </w:sectPr>
      </w:pPr>
    </w:p>
    <w:p>
      <w:pPr>
        <w:pStyle w:val="BodyText"/>
        <w:spacing w:before="105"/>
        <w:ind w:left="934"/>
      </w:pPr>
      <w:r>
        <w:rPr/>
        <w:t>all’esercizio 2017;</w:t>
      </w:r>
    </w:p>
    <w:p>
      <w:pPr>
        <w:pStyle w:val="BodyText"/>
        <w:spacing w:before="2"/>
        <w:rPr>
          <w:sz w:val="23"/>
        </w:rPr>
      </w:pPr>
    </w:p>
    <w:p>
      <w:pPr>
        <w:pStyle w:val="ListParagraph"/>
        <w:numPr>
          <w:ilvl w:val="0"/>
          <w:numId w:val="10"/>
        </w:numPr>
        <w:tabs>
          <w:tab w:pos="934" w:val="left" w:leader="none"/>
          <w:tab w:pos="935" w:val="left" w:leader="none"/>
        </w:tabs>
        <w:spacing w:line="240" w:lineRule="auto" w:before="0" w:after="0"/>
        <w:ind w:left="934" w:right="0" w:hanging="401"/>
        <w:jc w:val="left"/>
        <w:rPr>
          <w:sz w:val="22"/>
        </w:rPr>
      </w:pPr>
      <w:r>
        <w:rPr>
          <w:w w:val="105"/>
          <w:sz w:val="22"/>
        </w:rPr>
        <w:t>le cause della</w:t>
      </w:r>
      <w:r>
        <w:rPr>
          <w:spacing w:val="-43"/>
          <w:w w:val="105"/>
          <w:sz w:val="22"/>
        </w:rPr>
        <w:t> </w:t>
      </w:r>
      <w:r>
        <w:rPr>
          <w:w w:val="105"/>
          <w:sz w:val="22"/>
        </w:rPr>
        <w:t>crisi.</w:t>
      </w:r>
    </w:p>
    <w:p>
      <w:pPr>
        <w:pStyle w:val="BodyText"/>
        <w:rPr>
          <w:sz w:val="28"/>
        </w:rPr>
      </w:pPr>
    </w:p>
    <w:p>
      <w:pPr>
        <w:pStyle w:val="BodyText"/>
        <w:spacing w:before="2"/>
        <w:rPr>
          <w:sz w:val="40"/>
        </w:rPr>
      </w:pPr>
    </w:p>
    <w:p>
      <w:pPr>
        <w:pStyle w:val="Heading2"/>
        <w:numPr>
          <w:ilvl w:val="1"/>
          <w:numId w:val="11"/>
        </w:numPr>
        <w:tabs>
          <w:tab w:pos="1066" w:val="left" w:leader="none"/>
          <w:tab w:pos="1067" w:val="left" w:leader="none"/>
        </w:tabs>
        <w:spacing w:line="240" w:lineRule="auto" w:before="0" w:after="0"/>
        <w:ind w:left="1066" w:right="0" w:hanging="666"/>
        <w:jc w:val="left"/>
      </w:pPr>
      <w:bookmarkStart w:name="_TOC_250043" w:id="9"/>
      <w:r>
        <w:rPr>
          <w:w w:val="105"/>
          <w:u w:val="single"/>
        </w:rPr>
        <w:t>La</w:t>
      </w:r>
      <w:r>
        <w:rPr>
          <w:spacing w:val="-18"/>
          <w:w w:val="105"/>
          <w:u w:val="single"/>
        </w:rPr>
        <w:t> </w:t>
      </w:r>
      <w:r>
        <w:rPr>
          <w:w w:val="105"/>
          <w:u w:val="single"/>
        </w:rPr>
        <w:t>storia</w:t>
      </w:r>
      <w:r>
        <w:rPr>
          <w:spacing w:val="-19"/>
          <w:w w:val="105"/>
          <w:u w:val="single"/>
        </w:rPr>
        <w:t> </w:t>
      </w:r>
      <w:r>
        <w:rPr>
          <w:w w:val="105"/>
          <w:u w:val="single"/>
        </w:rPr>
        <w:t>della</w:t>
      </w:r>
      <w:r>
        <w:rPr>
          <w:spacing w:val="-18"/>
          <w:w w:val="105"/>
          <w:u w:val="single"/>
        </w:rPr>
        <w:t> </w:t>
      </w:r>
      <w:bookmarkEnd w:id="9"/>
      <w:r>
        <w:rPr>
          <w:w w:val="105"/>
          <w:u w:val="single"/>
        </w:rPr>
        <w:t>Società</w:t>
      </w:r>
    </w:p>
    <w:p>
      <w:pPr>
        <w:pStyle w:val="BodyText"/>
        <w:spacing w:before="7"/>
        <w:rPr>
          <w:b/>
          <w:sz w:val="21"/>
        </w:rPr>
      </w:pPr>
    </w:p>
    <w:p>
      <w:pPr>
        <w:pStyle w:val="ListParagraph"/>
        <w:numPr>
          <w:ilvl w:val="2"/>
          <w:numId w:val="11"/>
        </w:numPr>
        <w:tabs>
          <w:tab w:pos="1065" w:val="left" w:leader="none"/>
          <w:tab w:pos="1066" w:val="left" w:leader="none"/>
        </w:tabs>
        <w:spacing w:line="240" w:lineRule="auto" w:before="0" w:after="0"/>
        <w:ind w:left="1065" w:right="0" w:hanging="665"/>
        <w:jc w:val="left"/>
        <w:rPr>
          <w:b/>
          <w:i/>
          <w:sz w:val="24"/>
        </w:rPr>
      </w:pPr>
      <w:bookmarkStart w:name="_TOC_250042" w:id="10"/>
      <w:bookmarkEnd w:id="10"/>
      <w:r>
        <w:rPr>
          <w:b/>
          <w:i/>
          <w:sz w:val="24"/>
        </w:rPr>
        <w:t>Premessa</w:t>
      </w:r>
    </w:p>
    <w:p>
      <w:pPr>
        <w:pStyle w:val="BodyText"/>
        <w:rPr>
          <w:b/>
          <w:i/>
          <w:sz w:val="24"/>
        </w:rPr>
      </w:pPr>
      <w:r>
        <w:rPr/>
        <w:br w:type="column"/>
      </w:r>
      <w:r>
        <w:rPr>
          <w:b/>
          <w:i/>
          <w:sz w:val="24"/>
        </w:rPr>
      </w:r>
    </w:p>
    <w:p>
      <w:pPr>
        <w:pStyle w:val="BodyText"/>
        <w:rPr>
          <w:b/>
          <w:i/>
          <w:sz w:val="24"/>
        </w:rPr>
      </w:pPr>
    </w:p>
    <w:p>
      <w:pPr>
        <w:pStyle w:val="BodyText"/>
        <w:rPr>
          <w:b/>
          <w:i/>
          <w:sz w:val="24"/>
        </w:rPr>
      </w:pPr>
    </w:p>
    <w:p>
      <w:pPr>
        <w:pStyle w:val="BodyText"/>
        <w:spacing w:before="5"/>
        <w:rPr>
          <w:b/>
          <w:i/>
          <w:sz w:val="30"/>
        </w:rPr>
      </w:pPr>
    </w:p>
    <w:p>
      <w:pPr>
        <w:pStyle w:val="BodyText"/>
        <w:ind w:left="355"/>
      </w:pPr>
      <w:r>
        <w:rPr>
          <w:w w:val="105"/>
        </w:rPr>
        <w:t>* * *</w:t>
      </w:r>
    </w:p>
    <w:p>
      <w:pPr>
        <w:spacing w:after="0"/>
        <w:sectPr>
          <w:type w:val="continuous"/>
          <w:pgSz w:w="12240" w:h="15840"/>
          <w:pgMar w:top="1220" w:bottom="980" w:left="1720" w:right="1200"/>
          <w:cols w:num="2" w:equalWidth="0">
            <w:col w:w="3165" w:space="40"/>
            <w:col w:w="6115"/>
          </w:cols>
        </w:sectPr>
      </w:pPr>
    </w:p>
    <w:p>
      <w:pPr>
        <w:pStyle w:val="BodyText"/>
        <w:spacing w:before="3"/>
        <w:rPr>
          <w:sz w:val="13"/>
        </w:rPr>
      </w:pPr>
    </w:p>
    <w:p>
      <w:pPr>
        <w:pStyle w:val="BodyText"/>
        <w:spacing w:line="491" w:lineRule="auto" w:before="105"/>
        <w:ind w:left="400" w:right="2196"/>
        <w:jc w:val="both"/>
      </w:pPr>
      <w:r>
        <w:rPr>
          <w:w w:val="105"/>
        </w:rPr>
        <w:t>Prima di entrare nel merito, si ricorda che, nel Perimetro Bio, la Società svolge attività di </w:t>
      </w:r>
      <w:r>
        <w:rPr>
          <w:i/>
          <w:w w:val="105"/>
        </w:rPr>
        <w:t>engeneering &amp; procurement </w:t>
      </w:r>
      <w:r>
        <w:rPr>
          <w:w w:val="105"/>
        </w:rPr>
        <w:t>anche a favore di soggetti terzi, oltre ad essere la società del Gruppo Ghisolfi che effettua tutta l’attività di ricerca e sviluppo.</w:t>
      </w:r>
    </w:p>
    <w:p>
      <w:pPr>
        <w:pStyle w:val="BodyText"/>
        <w:spacing w:line="491" w:lineRule="auto" w:before="1"/>
        <w:ind w:left="400" w:right="2197"/>
        <w:jc w:val="both"/>
      </w:pPr>
      <w:r>
        <w:rPr>
          <w:w w:val="105"/>
        </w:rPr>
        <w:t>Biochemtex (sino al 2013 denominata Chemtex Italia) è, infatti, la società specializzata nell’attività di ricerca delle tecnologie per il pretrattamento di biomasse lignocellulosiche e lo sviluppo di processi biochimici di idrolisi enzimatica</w:t>
      </w:r>
      <w:r>
        <w:rPr>
          <w:spacing w:val="-8"/>
          <w:w w:val="105"/>
        </w:rPr>
        <w:t> </w:t>
      </w:r>
      <w:r>
        <w:rPr>
          <w:w w:val="105"/>
        </w:rPr>
        <w:t>e</w:t>
      </w:r>
      <w:r>
        <w:rPr>
          <w:spacing w:val="-7"/>
          <w:w w:val="105"/>
        </w:rPr>
        <w:t> </w:t>
      </w:r>
      <w:r>
        <w:rPr>
          <w:w w:val="105"/>
        </w:rPr>
        <w:t>fermentazione</w:t>
      </w:r>
      <w:r>
        <w:rPr>
          <w:spacing w:val="-8"/>
          <w:w w:val="105"/>
        </w:rPr>
        <w:t> </w:t>
      </w:r>
      <w:r>
        <w:rPr>
          <w:w w:val="105"/>
        </w:rPr>
        <w:t>degli</w:t>
      </w:r>
      <w:r>
        <w:rPr>
          <w:spacing w:val="-7"/>
          <w:w w:val="105"/>
        </w:rPr>
        <w:t> </w:t>
      </w:r>
      <w:r>
        <w:rPr>
          <w:w w:val="105"/>
        </w:rPr>
        <w:t>zuccheri</w:t>
      </w:r>
      <w:r>
        <w:rPr>
          <w:spacing w:val="-8"/>
          <w:w w:val="105"/>
        </w:rPr>
        <w:t> </w:t>
      </w:r>
      <w:r>
        <w:rPr>
          <w:w w:val="105"/>
        </w:rPr>
        <w:t>così</w:t>
      </w:r>
      <w:r>
        <w:rPr>
          <w:spacing w:val="-8"/>
          <w:w w:val="105"/>
        </w:rPr>
        <w:t> </w:t>
      </w:r>
      <w:r>
        <w:rPr>
          <w:w w:val="105"/>
        </w:rPr>
        <w:t>ottenuti</w:t>
      </w:r>
      <w:r>
        <w:rPr>
          <w:spacing w:val="-8"/>
          <w:w w:val="105"/>
        </w:rPr>
        <w:t> </w:t>
      </w:r>
      <w:r>
        <w:rPr>
          <w:w w:val="105"/>
        </w:rPr>
        <w:t>per</w:t>
      </w:r>
      <w:r>
        <w:rPr>
          <w:spacing w:val="-8"/>
          <w:w w:val="105"/>
        </w:rPr>
        <w:t> </w:t>
      </w:r>
      <w:r>
        <w:rPr>
          <w:w w:val="105"/>
        </w:rPr>
        <w:t>la</w:t>
      </w:r>
      <w:r>
        <w:rPr>
          <w:spacing w:val="-7"/>
          <w:w w:val="105"/>
        </w:rPr>
        <w:t> </w:t>
      </w:r>
      <w:r>
        <w:rPr>
          <w:w w:val="105"/>
        </w:rPr>
        <w:t>produzione</w:t>
      </w:r>
      <w:r>
        <w:rPr>
          <w:spacing w:val="-6"/>
          <w:w w:val="105"/>
        </w:rPr>
        <w:t> </w:t>
      </w:r>
      <w:r>
        <w:rPr>
          <w:w w:val="105"/>
        </w:rPr>
        <w:t>di bioetanolo</w:t>
      </w:r>
      <w:r>
        <w:rPr>
          <w:spacing w:val="-31"/>
          <w:w w:val="105"/>
        </w:rPr>
        <w:t> </w:t>
      </w:r>
      <w:r>
        <w:rPr>
          <w:w w:val="105"/>
        </w:rPr>
        <w:t>di</w:t>
      </w:r>
      <w:r>
        <w:rPr>
          <w:spacing w:val="-31"/>
          <w:w w:val="105"/>
        </w:rPr>
        <w:t> </w:t>
      </w:r>
      <w:r>
        <w:rPr>
          <w:w w:val="105"/>
        </w:rPr>
        <w:t>seconda</w:t>
      </w:r>
      <w:r>
        <w:rPr>
          <w:spacing w:val="-32"/>
          <w:w w:val="105"/>
        </w:rPr>
        <w:t> </w:t>
      </w:r>
      <w:r>
        <w:rPr>
          <w:w w:val="105"/>
        </w:rPr>
        <w:t>generazione.</w:t>
      </w:r>
    </w:p>
    <w:p>
      <w:pPr>
        <w:pStyle w:val="Heading1"/>
        <w:numPr>
          <w:ilvl w:val="2"/>
          <w:numId w:val="11"/>
        </w:numPr>
        <w:tabs>
          <w:tab w:pos="1066" w:val="left" w:leader="none"/>
        </w:tabs>
        <w:spacing w:line="254" w:lineRule="exact" w:before="0" w:after="0"/>
        <w:ind w:left="1065" w:right="0" w:hanging="665"/>
        <w:jc w:val="both"/>
      </w:pPr>
      <w:r>
        <w:rPr/>
        <w:t>La costituzione di Biochemtex e l’impianto dimostrativo </w:t>
      </w:r>
      <w:r>
        <w:rPr>
          <w:spacing w:val="10"/>
        </w:rPr>
        <w:t> </w:t>
      </w:r>
      <w:r>
        <w:rPr/>
        <w:t>di</w:t>
      </w:r>
    </w:p>
    <w:p>
      <w:pPr>
        <w:pStyle w:val="BodyText"/>
        <w:spacing w:before="1"/>
        <w:rPr>
          <w:b/>
          <w:i/>
          <w:sz w:val="21"/>
        </w:rPr>
      </w:pPr>
    </w:p>
    <w:p>
      <w:pPr>
        <w:spacing w:line="451" w:lineRule="auto" w:before="0"/>
        <w:ind w:left="400" w:right="2196" w:firstLine="0"/>
        <w:jc w:val="both"/>
        <w:rPr>
          <w:b/>
          <w:i/>
          <w:sz w:val="24"/>
        </w:rPr>
      </w:pPr>
      <w:r>
        <w:rPr>
          <w:b/>
          <w:i/>
          <w:sz w:val="24"/>
        </w:rPr>
        <w:t>Crescentino: il collegamento operativo e finanziario con le altre </w:t>
      </w:r>
      <w:r>
        <w:rPr>
          <w:b/>
          <w:i/>
          <w:w w:val="95"/>
          <w:sz w:val="24"/>
        </w:rPr>
        <w:t>società del Gruppo Mossi &amp; Ghisolfi</w:t>
      </w:r>
    </w:p>
    <w:p>
      <w:pPr>
        <w:pStyle w:val="BodyText"/>
        <w:spacing w:line="491" w:lineRule="auto" w:before="18"/>
        <w:ind w:left="400" w:right="2196"/>
        <w:jc w:val="both"/>
      </w:pPr>
      <w:r>
        <w:rPr>
          <w:w w:val="105"/>
        </w:rPr>
        <w:t>La Biochemtex è stata costituita in data 9 febbraio 2005 e, come accennato sopra, fa parte del Gruppo Ghisolfi in quanto indirettamente controllata dalla Mossi &amp; Ghisolfi S.p.A. (“</w:t>
      </w:r>
      <w:r>
        <w:rPr>
          <w:b/>
          <w:w w:val="105"/>
        </w:rPr>
        <w:t>Mossi &amp; Ghisolfi</w:t>
      </w:r>
      <w:r>
        <w:rPr>
          <w:w w:val="105"/>
        </w:rPr>
        <w:t>”) con sede in   Tortona,</w:t>
      </w:r>
    </w:p>
    <w:p>
      <w:pPr>
        <w:spacing w:after="0" w:line="491" w:lineRule="auto"/>
        <w:jc w:val="both"/>
        <w:sectPr>
          <w:type w:val="continuous"/>
          <w:pgSz w:w="12240" w:h="15840"/>
          <w:pgMar w:top="1220" w:bottom="980" w:left="1720" w:right="1200"/>
        </w:sectPr>
      </w:pPr>
    </w:p>
    <w:p>
      <w:pPr>
        <w:pStyle w:val="BodyText"/>
        <w:spacing w:line="491" w:lineRule="auto" w:before="105"/>
        <w:ind w:left="400" w:right="2195"/>
        <w:jc w:val="both"/>
      </w:pPr>
      <w:r>
        <w:rPr>
          <w:w w:val="105"/>
        </w:rPr>
        <w:t>che è la </w:t>
      </w:r>
      <w:r>
        <w:rPr>
          <w:i/>
          <w:w w:val="105"/>
        </w:rPr>
        <w:t>holding </w:t>
      </w:r>
      <w:r>
        <w:rPr>
          <w:w w:val="105"/>
        </w:rPr>
        <w:t>pura della famiglia Ghisolfi e che, attraverso la M&amp;G Finanziaria (di cui possiede l’intero capitale sociale), controlla l’intero Gruppo Ghisolfi, tra cui la ricorrente (in proposito, si rimanda alla chart esplicativa</w:t>
      </w:r>
      <w:r>
        <w:rPr>
          <w:spacing w:val="-6"/>
          <w:w w:val="105"/>
        </w:rPr>
        <w:t> </w:t>
      </w:r>
      <w:r>
        <w:rPr>
          <w:w w:val="105"/>
        </w:rPr>
        <w:t>della</w:t>
      </w:r>
      <w:r>
        <w:rPr>
          <w:spacing w:val="-7"/>
          <w:w w:val="105"/>
        </w:rPr>
        <w:t> </w:t>
      </w:r>
      <w:r>
        <w:rPr>
          <w:w w:val="105"/>
        </w:rPr>
        <w:t>catena</w:t>
      </w:r>
      <w:r>
        <w:rPr>
          <w:spacing w:val="-7"/>
          <w:w w:val="105"/>
        </w:rPr>
        <w:t> </w:t>
      </w:r>
      <w:r>
        <w:rPr>
          <w:w w:val="105"/>
        </w:rPr>
        <w:t>di</w:t>
      </w:r>
      <w:r>
        <w:rPr>
          <w:spacing w:val="-5"/>
          <w:w w:val="105"/>
        </w:rPr>
        <w:t> </w:t>
      </w:r>
      <w:r>
        <w:rPr>
          <w:w w:val="105"/>
        </w:rPr>
        <w:t>controllo</w:t>
      </w:r>
      <w:r>
        <w:rPr>
          <w:spacing w:val="-9"/>
          <w:w w:val="105"/>
        </w:rPr>
        <w:t> </w:t>
      </w:r>
      <w:r>
        <w:rPr>
          <w:w w:val="105"/>
        </w:rPr>
        <w:t>della</w:t>
      </w:r>
      <w:r>
        <w:rPr>
          <w:spacing w:val="-5"/>
          <w:w w:val="105"/>
        </w:rPr>
        <w:t> </w:t>
      </w:r>
      <w:r>
        <w:rPr>
          <w:w w:val="105"/>
        </w:rPr>
        <w:t>Biochemtex</w:t>
      </w:r>
      <w:r>
        <w:rPr>
          <w:spacing w:val="-6"/>
          <w:w w:val="105"/>
        </w:rPr>
        <w:t> </w:t>
      </w:r>
      <w:r>
        <w:rPr>
          <w:w w:val="105"/>
        </w:rPr>
        <w:t>da</w:t>
      </w:r>
      <w:r>
        <w:rPr>
          <w:spacing w:val="-7"/>
          <w:w w:val="105"/>
        </w:rPr>
        <w:t> </w:t>
      </w:r>
      <w:r>
        <w:rPr>
          <w:w w:val="105"/>
        </w:rPr>
        <w:t>parte</w:t>
      </w:r>
      <w:r>
        <w:rPr>
          <w:spacing w:val="-5"/>
          <w:w w:val="105"/>
        </w:rPr>
        <w:t> </w:t>
      </w:r>
      <w:r>
        <w:rPr>
          <w:w w:val="105"/>
        </w:rPr>
        <w:t>della</w:t>
      </w:r>
      <w:r>
        <w:rPr>
          <w:spacing w:val="-7"/>
          <w:w w:val="105"/>
        </w:rPr>
        <w:t> </w:t>
      </w:r>
      <w:r>
        <w:rPr>
          <w:w w:val="105"/>
        </w:rPr>
        <w:t>Mossi</w:t>
      </w:r>
      <w:r>
        <w:rPr>
          <w:spacing w:val="-5"/>
          <w:w w:val="105"/>
        </w:rPr>
        <w:t> </w:t>
      </w:r>
      <w:r>
        <w:rPr>
          <w:w w:val="105"/>
        </w:rPr>
        <w:t>&amp; Ghisolfi</w:t>
      </w:r>
      <w:r>
        <w:rPr>
          <w:spacing w:val="-12"/>
          <w:w w:val="105"/>
        </w:rPr>
        <w:t> </w:t>
      </w:r>
      <w:r>
        <w:rPr>
          <w:i/>
          <w:w w:val="105"/>
        </w:rPr>
        <w:t>sub</w:t>
      </w:r>
      <w:r>
        <w:rPr>
          <w:i/>
          <w:spacing w:val="-15"/>
          <w:w w:val="105"/>
        </w:rPr>
        <w:t> </w:t>
      </w:r>
      <w:r>
        <w:rPr>
          <w:w w:val="105"/>
        </w:rPr>
        <w:t>doc.</w:t>
      </w:r>
      <w:r>
        <w:rPr>
          <w:spacing w:val="-13"/>
          <w:w w:val="105"/>
        </w:rPr>
        <w:t> </w:t>
      </w:r>
      <w:r>
        <w:rPr>
          <w:w w:val="105"/>
        </w:rPr>
        <w:t>n.</w:t>
      </w:r>
      <w:r>
        <w:rPr>
          <w:spacing w:val="-13"/>
          <w:w w:val="105"/>
        </w:rPr>
        <w:t> </w:t>
      </w:r>
      <w:r>
        <w:rPr>
          <w:w w:val="105"/>
        </w:rPr>
        <w:t>2).</w:t>
      </w:r>
    </w:p>
    <w:p>
      <w:pPr>
        <w:pStyle w:val="BodyText"/>
        <w:spacing w:line="491" w:lineRule="auto" w:before="1"/>
        <w:ind w:left="400" w:right="2195"/>
        <w:jc w:val="both"/>
      </w:pPr>
      <w:r>
        <w:rPr>
          <w:w w:val="105"/>
        </w:rPr>
        <w:t>Più in particolare, la Biochemtex è controllata al 100% dalla M&amp;G Finanziaria e detiene, a sua volta, tra le altre partecipazioni, l’intero capitale sociale</w:t>
      </w:r>
      <w:r>
        <w:rPr>
          <w:spacing w:val="-8"/>
          <w:w w:val="105"/>
        </w:rPr>
        <w:t> </w:t>
      </w:r>
      <w:r>
        <w:rPr>
          <w:w w:val="105"/>
        </w:rPr>
        <w:t>della</w:t>
      </w:r>
      <w:r>
        <w:rPr>
          <w:spacing w:val="-6"/>
          <w:w w:val="105"/>
        </w:rPr>
        <w:t> </w:t>
      </w:r>
      <w:r>
        <w:rPr>
          <w:w w:val="105"/>
        </w:rPr>
        <w:t>Italian</w:t>
      </w:r>
      <w:r>
        <w:rPr>
          <w:spacing w:val="-7"/>
          <w:w w:val="105"/>
        </w:rPr>
        <w:t> </w:t>
      </w:r>
      <w:r>
        <w:rPr>
          <w:w w:val="105"/>
        </w:rPr>
        <w:t>Bio</w:t>
      </w:r>
      <w:r>
        <w:rPr>
          <w:spacing w:val="-8"/>
          <w:w w:val="105"/>
        </w:rPr>
        <w:t> </w:t>
      </w:r>
      <w:r>
        <w:rPr>
          <w:w w:val="105"/>
        </w:rPr>
        <w:t>Products</w:t>
      </w:r>
      <w:r>
        <w:rPr>
          <w:spacing w:val="-7"/>
          <w:w w:val="105"/>
        </w:rPr>
        <w:t> </w:t>
      </w:r>
      <w:r>
        <w:rPr>
          <w:w w:val="105"/>
        </w:rPr>
        <w:t>S.r.l.</w:t>
      </w:r>
      <w:r>
        <w:rPr>
          <w:spacing w:val="-8"/>
          <w:w w:val="105"/>
        </w:rPr>
        <w:t> </w:t>
      </w:r>
      <w:r>
        <w:rPr>
          <w:w w:val="105"/>
        </w:rPr>
        <w:t>(“</w:t>
      </w:r>
      <w:r>
        <w:rPr>
          <w:b/>
          <w:w w:val="105"/>
        </w:rPr>
        <w:t>IBP</w:t>
      </w:r>
      <w:r>
        <w:rPr>
          <w:w w:val="105"/>
        </w:rPr>
        <w:t>”)</w:t>
      </w:r>
      <w:r>
        <w:rPr>
          <w:spacing w:val="-7"/>
          <w:w w:val="105"/>
        </w:rPr>
        <w:t> </w:t>
      </w:r>
      <w:r>
        <w:rPr>
          <w:w w:val="105"/>
        </w:rPr>
        <w:t>che</w:t>
      </w:r>
      <w:r>
        <w:rPr>
          <w:spacing w:val="-6"/>
          <w:w w:val="105"/>
        </w:rPr>
        <w:t> </w:t>
      </w:r>
      <w:r>
        <w:rPr>
          <w:w w:val="105"/>
        </w:rPr>
        <w:t>è</w:t>
      </w:r>
      <w:r>
        <w:rPr>
          <w:spacing w:val="-8"/>
          <w:w w:val="105"/>
        </w:rPr>
        <w:t> </w:t>
      </w:r>
      <w:r>
        <w:rPr>
          <w:w w:val="105"/>
        </w:rPr>
        <w:t>attiva</w:t>
      </w:r>
      <w:r>
        <w:rPr>
          <w:spacing w:val="-8"/>
          <w:w w:val="105"/>
        </w:rPr>
        <w:t> </w:t>
      </w:r>
      <w:r>
        <w:rPr>
          <w:w w:val="105"/>
        </w:rPr>
        <w:t>nella</w:t>
      </w:r>
      <w:r>
        <w:rPr>
          <w:spacing w:val="-7"/>
          <w:w w:val="105"/>
        </w:rPr>
        <w:t> </w:t>
      </w:r>
      <w:r>
        <w:rPr>
          <w:w w:val="105"/>
        </w:rPr>
        <w:t>produzione di bioetanolo di cd. seconda generazione attraverso un importante ed innovativo</w:t>
      </w:r>
      <w:r>
        <w:rPr>
          <w:spacing w:val="-21"/>
          <w:w w:val="105"/>
        </w:rPr>
        <w:t> </w:t>
      </w:r>
      <w:r>
        <w:rPr>
          <w:w w:val="105"/>
        </w:rPr>
        <w:t>impianto</w:t>
      </w:r>
      <w:r>
        <w:rPr>
          <w:spacing w:val="-21"/>
          <w:w w:val="105"/>
        </w:rPr>
        <w:t> </w:t>
      </w:r>
      <w:r>
        <w:rPr>
          <w:w w:val="105"/>
        </w:rPr>
        <w:t>sito</w:t>
      </w:r>
      <w:r>
        <w:rPr>
          <w:spacing w:val="-20"/>
          <w:w w:val="105"/>
        </w:rPr>
        <w:t> </w:t>
      </w:r>
      <w:r>
        <w:rPr>
          <w:w w:val="105"/>
        </w:rPr>
        <w:t>in</w:t>
      </w:r>
      <w:r>
        <w:rPr>
          <w:spacing w:val="-21"/>
          <w:w w:val="105"/>
        </w:rPr>
        <w:t> </w:t>
      </w:r>
      <w:r>
        <w:rPr>
          <w:w w:val="105"/>
        </w:rPr>
        <w:t>Crescentino</w:t>
      </w:r>
      <w:r>
        <w:rPr>
          <w:spacing w:val="-22"/>
          <w:w w:val="105"/>
        </w:rPr>
        <w:t> </w:t>
      </w:r>
      <w:r>
        <w:rPr>
          <w:w w:val="105"/>
        </w:rPr>
        <w:t>(VC).</w:t>
      </w:r>
    </w:p>
    <w:p>
      <w:pPr>
        <w:pStyle w:val="BodyText"/>
        <w:spacing w:line="491" w:lineRule="auto" w:before="1"/>
        <w:ind w:left="400" w:right="2195"/>
        <w:jc w:val="both"/>
      </w:pPr>
      <w:r>
        <w:rPr>
          <w:w w:val="105"/>
        </w:rPr>
        <w:t>Biochemtex</w:t>
      </w:r>
      <w:r>
        <w:rPr>
          <w:spacing w:val="-7"/>
          <w:w w:val="105"/>
        </w:rPr>
        <w:t> </w:t>
      </w:r>
      <w:r>
        <w:rPr>
          <w:w w:val="105"/>
        </w:rPr>
        <w:t>svolge,</w:t>
      </w:r>
      <w:r>
        <w:rPr>
          <w:spacing w:val="-7"/>
          <w:w w:val="105"/>
        </w:rPr>
        <w:t> </w:t>
      </w:r>
      <w:r>
        <w:rPr>
          <w:w w:val="105"/>
        </w:rPr>
        <w:t>invece,</w:t>
      </w:r>
      <w:r>
        <w:rPr>
          <w:spacing w:val="-7"/>
          <w:w w:val="105"/>
        </w:rPr>
        <w:t> </w:t>
      </w:r>
      <w:r>
        <w:rPr>
          <w:w w:val="105"/>
        </w:rPr>
        <w:t>attività</w:t>
      </w:r>
      <w:r>
        <w:rPr>
          <w:spacing w:val="-7"/>
          <w:w w:val="105"/>
        </w:rPr>
        <w:t> </w:t>
      </w:r>
      <w:r>
        <w:rPr>
          <w:w w:val="105"/>
        </w:rPr>
        <w:t>di</w:t>
      </w:r>
      <w:r>
        <w:rPr>
          <w:spacing w:val="-8"/>
          <w:w w:val="105"/>
        </w:rPr>
        <w:t> </w:t>
      </w:r>
      <w:r>
        <w:rPr>
          <w:i/>
          <w:w w:val="105"/>
        </w:rPr>
        <w:t>engeneering</w:t>
      </w:r>
      <w:r>
        <w:rPr>
          <w:i/>
          <w:spacing w:val="-16"/>
          <w:w w:val="105"/>
        </w:rPr>
        <w:t> </w:t>
      </w:r>
      <w:r>
        <w:rPr>
          <w:i/>
          <w:w w:val="105"/>
        </w:rPr>
        <w:t>&amp;</w:t>
      </w:r>
      <w:r>
        <w:rPr>
          <w:i/>
          <w:spacing w:val="-17"/>
          <w:w w:val="105"/>
        </w:rPr>
        <w:t> </w:t>
      </w:r>
      <w:r>
        <w:rPr>
          <w:i/>
          <w:w w:val="105"/>
        </w:rPr>
        <w:t>procurement</w:t>
      </w:r>
      <w:r>
        <w:rPr>
          <w:i/>
          <w:spacing w:val="-18"/>
          <w:w w:val="105"/>
        </w:rPr>
        <w:t> </w:t>
      </w:r>
      <w:r>
        <w:rPr>
          <w:w w:val="105"/>
        </w:rPr>
        <w:t>anche</w:t>
      </w:r>
      <w:r>
        <w:rPr>
          <w:spacing w:val="-8"/>
          <w:w w:val="105"/>
        </w:rPr>
        <w:t> </w:t>
      </w:r>
      <w:r>
        <w:rPr>
          <w:w w:val="105"/>
        </w:rPr>
        <w:t>a</w:t>
      </w:r>
      <w:r>
        <w:rPr>
          <w:spacing w:val="-7"/>
          <w:w w:val="105"/>
        </w:rPr>
        <w:t> </w:t>
      </w:r>
      <w:r>
        <w:rPr>
          <w:w w:val="105"/>
        </w:rPr>
        <w:t>favore di soggetti terzi, oltre ad essere la società del Gruppo Ghisolfi che effettua tutta</w:t>
      </w:r>
      <w:r>
        <w:rPr>
          <w:spacing w:val="-18"/>
          <w:w w:val="105"/>
        </w:rPr>
        <w:t> </w:t>
      </w:r>
      <w:r>
        <w:rPr>
          <w:w w:val="105"/>
        </w:rPr>
        <w:t>l’attività</w:t>
      </w:r>
      <w:r>
        <w:rPr>
          <w:spacing w:val="-17"/>
          <w:w w:val="105"/>
        </w:rPr>
        <w:t> </w:t>
      </w:r>
      <w:r>
        <w:rPr>
          <w:w w:val="105"/>
        </w:rPr>
        <w:t>di</w:t>
      </w:r>
      <w:r>
        <w:rPr>
          <w:spacing w:val="-18"/>
          <w:w w:val="105"/>
        </w:rPr>
        <w:t> </w:t>
      </w:r>
      <w:r>
        <w:rPr>
          <w:w w:val="105"/>
        </w:rPr>
        <w:t>ricerca</w:t>
      </w:r>
      <w:r>
        <w:rPr>
          <w:spacing w:val="-18"/>
          <w:w w:val="105"/>
        </w:rPr>
        <w:t> </w:t>
      </w:r>
      <w:r>
        <w:rPr>
          <w:w w:val="105"/>
        </w:rPr>
        <w:t>e</w:t>
      </w:r>
      <w:r>
        <w:rPr>
          <w:spacing w:val="-17"/>
          <w:w w:val="105"/>
        </w:rPr>
        <w:t> </w:t>
      </w:r>
      <w:r>
        <w:rPr>
          <w:w w:val="105"/>
        </w:rPr>
        <w:t>sviluppo.</w:t>
      </w:r>
    </w:p>
    <w:p>
      <w:pPr>
        <w:pStyle w:val="BodyText"/>
        <w:spacing w:line="491" w:lineRule="auto" w:before="1"/>
        <w:ind w:left="400" w:right="2195"/>
        <w:jc w:val="both"/>
      </w:pPr>
      <w:r>
        <w:rPr>
          <w:w w:val="105"/>
        </w:rPr>
        <w:t>Nell’ambito</w:t>
      </w:r>
      <w:r>
        <w:rPr>
          <w:spacing w:val="-15"/>
          <w:w w:val="105"/>
        </w:rPr>
        <w:t> </w:t>
      </w:r>
      <w:r>
        <w:rPr>
          <w:w w:val="105"/>
        </w:rPr>
        <w:t>della</w:t>
      </w:r>
      <w:r>
        <w:rPr>
          <w:spacing w:val="-14"/>
          <w:w w:val="105"/>
        </w:rPr>
        <w:t> </w:t>
      </w:r>
      <w:r>
        <w:rPr>
          <w:w w:val="105"/>
        </w:rPr>
        <w:t>menzionata</w:t>
      </w:r>
      <w:r>
        <w:rPr>
          <w:spacing w:val="-15"/>
          <w:w w:val="105"/>
        </w:rPr>
        <w:t> </w:t>
      </w:r>
      <w:r>
        <w:rPr>
          <w:w w:val="105"/>
        </w:rPr>
        <w:t>attività</w:t>
      </w:r>
      <w:r>
        <w:rPr>
          <w:spacing w:val="-13"/>
          <w:w w:val="105"/>
        </w:rPr>
        <w:t> </w:t>
      </w:r>
      <w:r>
        <w:rPr>
          <w:w w:val="105"/>
        </w:rPr>
        <w:t>di</w:t>
      </w:r>
      <w:r>
        <w:rPr>
          <w:spacing w:val="-15"/>
          <w:w w:val="105"/>
        </w:rPr>
        <w:t> </w:t>
      </w:r>
      <w:r>
        <w:rPr>
          <w:i/>
          <w:w w:val="105"/>
        </w:rPr>
        <w:t>engeneering</w:t>
      </w:r>
      <w:r>
        <w:rPr>
          <w:i/>
          <w:spacing w:val="-21"/>
          <w:w w:val="105"/>
        </w:rPr>
        <w:t> </w:t>
      </w:r>
      <w:r>
        <w:rPr>
          <w:i/>
          <w:w w:val="105"/>
        </w:rPr>
        <w:t>&amp;</w:t>
      </w:r>
      <w:r>
        <w:rPr>
          <w:i/>
          <w:spacing w:val="-21"/>
          <w:w w:val="105"/>
        </w:rPr>
        <w:t> </w:t>
      </w:r>
      <w:r>
        <w:rPr>
          <w:i/>
          <w:w w:val="105"/>
        </w:rPr>
        <w:t>procurement</w:t>
      </w:r>
      <w:r>
        <w:rPr>
          <w:w w:val="105"/>
        </w:rPr>
        <w:t>,</w:t>
      </w:r>
      <w:r>
        <w:rPr>
          <w:spacing w:val="-15"/>
          <w:w w:val="105"/>
        </w:rPr>
        <w:t> </w:t>
      </w:r>
      <w:r>
        <w:rPr>
          <w:w w:val="105"/>
        </w:rPr>
        <w:t>Biochemtex ha progettato e costruito, in forza di due contratti di appalto “chiavi in mano”, a prezzo fisso, in data 3 Giugno 2011, il suddetto impianto di produzione di bioetanolo, di proprietà della propria controllata IBP e la centrale elettrica, a servizio dell’impianto medesimo. Il costo complessivo dell’impianto</w:t>
      </w:r>
      <w:r>
        <w:rPr>
          <w:spacing w:val="-16"/>
          <w:w w:val="105"/>
        </w:rPr>
        <w:t> </w:t>
      </w:r>
      <w:r>
        <w:rPr>
          <w:w w:val="105"/>
        </w:rPr>
        <w:t>previsto</w:t>
      </w:r>
      <w:r>
        <w:rPr>
          <w:spacing w:val="-15"/>
          <w:w w:val="105"/>
        </w:rPr>
        <w:t> </w:t>
      </w:r>
      <w:r>
        <w:rPr>
          <w:w w:val="105"/>
        </w:rPr>
        <w:t>in</w:t>
      </w:r>
      <w:r>
        <w:rPr>
          <w:spacing w:val="-16"/>
          <w:w w:val="105"/>
        </w:rPr>
        <w:t> </w:t>
      </w:r>
      <w:r>
        <w:rPr>
          <w:w w:val="105"/>
        </w:rPr>
        <w:t>tali</w:t>
      </w:r>
      <w:r>
        <w:rPr>
          <w:spacing w:val="-17"/>
          <w:w w:val="105"/>
        </w:rPr>
        <w:t> </w:t>
      </w:r>
      <w:r>
        <w:rPr>
          <w:w w:val="105"/>
        </w:rPr>
        <w:t>contratti</w:t>
      </w:r>
      <w:r>
        <w:rPr>
          <w:spacing w:val="-18"/>
          <w:w w:val="105"/>
        </w:rPr>
        <w:t> </w:t>
      </w:r>
      <w:r>
        <w:rPr>
          <w:w w:val="105"/>
        </w:rPr>
        <w:t>era</w:t>
      </w:r>
      <w:r>
        <w:rPr>
          <w:spacing w:val="-16"/>
          <w:w w:val="105"/>
        </w:rPr>
        <w:t> </w:t>
      </w:r>
      <w:r>
        <w:rPr>
          <w:w w:val="105"/>
        </w:rPr>
        <w:t>di</w:t>
      </w:r>
      <w:r>
        <w:rPr>
          <w:spacing w:val="-16"/>
          <w:w w:val="105"/>
        </w:rPr>
        <w:t> </w:t>
      </w:r>
      <w:r>
        <w:rPr>
          <w:w w:val="105"/>
        </w:rPr>
        <w:t>circa</w:t>
      </w:r>
      <w:r>
        <w:rPr>
          <w:spacing w:val="-16"/>
          <w:w w:val="105"/>
        </w:rPr>
        <w:t> </w:t>
      </w:r>
      <w:r>
        <w:rPr>
          <w:w w:val="105"/>
        </w:rPr>
        <w:t>€</w:t>
      </w:r>
      <w:r>
        <w:rPr>
          <w:spacing w:val="-16"/>
          <w:w w:val="105"/>
        </w:rPr>
        <w:t> </w:t>
      </w:r>
      <w:r>
        <w:rPr>
          <w:w w:val="105"/>
        </w:rPr>
        <w:t>130</w:t>
      </w:r>
      <w:r>
        <w:rPr>
          <w:spacing w:val="-16"/>
          <w:w w:val="105"/>
        </w:rPr>
        <w:t> </w:t>
      </w:r>
      <w:r>
        <w:rPr>
          <w:w w:val="105"/>
        </w:rPr>
        <w:t>milioni.</w:t>
      </w:r>
    </w:p>
    <w:p>
      <w:pPr>
        <w:pStyle w:val="BodyText"/>
        <w:spacing w:line="491" w:lineRule="auto"/>
        <w:ind w:left="400" w:right="2196"/>
        <w:jc w:val="both"/>
      </w:pPr>
      <w:r>
        <w:rPr>
          <w:w w:val="105"/>
        </w:rPr>
        <w:t>In proposito, è da subito necessario far presente due rilevanti circostanze, nel cui contesto si è sviluppata la crisi che ha colpito Biochemtex e le altre società del Gruppo Ghisolfi, la cui attività è correlata al bioetanolo di seconda generazione, vale a dire:</w:t>
      </w:r>
    </w:p>
    <w:p>
      <w:pPr>
        <w:pStyle w:val="ListParagraph"/>
        <w:numPr>
          <w:ilvl w:val="0"/>
          <w:numId w:val="12"/>
        </w:numPr>
        <w:tabs>
          <w:tab w:pos="662" w:val="left" w:leader="none"/>
        </w:tabs>
        <w:spacing w:line="240" w:lineRule="auto" w:before="1" w:after="0"/>
        <w:ind w:left="400" w:right="0" w:firstLine="0"/>
        <w:jc w:val="both"/>
        <w:rPr>
          <w:sz w:val="22"/>
        </w:rPr>
      </w:pPr>
      <w:r>
        <w:rPr>
          <w:w w:val="105"/>
          <w:sz w:val="22"/>
        </w:rPr>
        <w:t>il bioetanolo di seconda generazione è una tipologia di carburante che</w:t>
      </w:r>
      <w:r>
        <w:rPr>
          <w:spacing w:val="20"/>
          <w:w w:val="105"/>
          <w:sz w:val="22"/>
        </w:rPr>
        <w:t> </w:t>
      </w:r>
      <w:r>
        <w:rPr>
          <w:w w:val="105"/>
          <w:sz w:val="22"/>
        </w:rPr>
        <w:t>si</w:t>
      </w:r>
    </w:p>
    <w:p>
      <w:pPr>
        <w:spacing w:after="0" w:line="240" w:lineRule="auto"/>
        <w:jc w:val="both"/>
        <w:rPr>
          <w:sz w:val="22"/>
        </w:rPr>
        <w:sectPr>
          <w:pgSz w:w="12240" w:h="15840"/>
          <w:pgMar w:header="0" w:footer="790" w:top="1500" w:bottom="980" w:left="1720" w:right="1200"/>
        </w:sectPr>
      </w:pPr>
    </w:p>
    <w:p>
      <w:pPr>
        <w:pStyle w:val="BodyText"/>
        <w:spacing w:line="491" w:lineRule="auto" w:before="105"/>
        <w:ind w:left="400" w:right="2194"/>
        <w:jc w:val="both"/>
      </w:pPr>
      <w:r>
        <w:rPr>
          <w:w w:val="105"/>
        </w:rPr>
        <w:t>caratterizza per il fatto di essere prodotto utilizzando biomasse non ad uso alimentare (scarti alimentari) e ciò diversamente dal bioetanolo di prima generazione che, di contro, viene prodotto mediante l’utilizzo di sostanze alimentari. Per tale fatto, il bioetanolo di prima generazione è stato (ed è) oggetto di forti critiche a livello mondiale da chi ritiene (giustamente) che prodotti alimentari non debbano essere utilizzati per la produzione di carburanti, quale è l’etanolo; sicché, com’è agevole comprendere, il bioetanolo di seconda generazione costituisce una novità di assoluta rilevanza mondiale nel settore dei carburanti e cioè di un mercato con enormi concrete capacità di sviluppo. Si consideri ad esempio che la domanda mondiale di etanolo per carburanti è oggi di circa 90 miliardi di litri/anno e rappresenta solo il 5% del consumo mondiale totale di carburanti liquidi che è oggi di circa 1.700 miliardi/anno. La domanda di etanolo</w:t>
      </w:r>
      <w:r>
        <w:rPr>
          <w:spacing w:val="-16"/>
          <w:w w:val="105"/>
        </w:rPr>
        <w:t> </w:t>
      </w:r>
      <w:r>
        <w:rPr>
          <w:w w:val="105"/>
        </w:rPr>
        <w:t>per</w:t>
      </w:r>
      <w:r>
        <w:rPr>
          <w:spacing w:val="-14"/>
          <w:w w:val="105"/>
        </w:rPr>
        <w:t> </w:t>
      </w:r>
      <w:r>
        <w:rPr>
          <w:w w:val="105"/>
        </w:rPr>
        <w:t>carburanti</w:t>
      </w:r>
      <w:r>
        <w:rPr>
          <w:spacing w:val="-16"/>
          <w:w w:val="105"/>
        </w:rPr>
        <w:t> </w:t>
      </w:r>
      <w:r>
        <w:rPr>
          <w:w w:val="105"/>
        </w:rPr>
        <w:t>è</w:t>
      </w:r>
      <w:r>
        <w:rPr>
          <w:spacing w:val="-15"/>
          <w:w w:val="105"/>
        </w:rPr>
        <w:t> </w:t>
      </w:r>
      <w:r>
        <w:rPr>
          <w:w w:val="105"/>
        </w:rPr>
        <w:t>prevista</w:t>
      </w:r>
      <w:r>
        <w:rPr>
          <w:spacing w:val="-16"/>
          <w:w w:val="105"/>
        </w:rPr>
        <w:t> </w:t>
      </w:r>
      <w:r>
        <w:rPr>
          <w:w w:val="105"/>
        </w:rPr>
        <w:t>in</w:t>
      </w:r>
      <w:r>
        <w:rPr>
          <w:spacing w:val="-15"/>
          <w:w w:val="105"/>
        </w:rPr>
        <w:t> </w:t>
      </w:r>
      <w:r>
        <w:rPr>
          <w:w w:val="105"/>
        </w:rPr>
        <w:t>rimarchevole</w:t>
      </w:r>
      <w:r>
        <w:rPr>
          <w:spacing w:val="-15"/>
          <w:w w:val="105"/>
        </w:rPr>
        <w:t> </w:t>
      </w:r>
      <w:r>
        <w:rPr>
          <w:w w:val="105"/>
        </w:rPr>
        <w:t>aumento</w:t>
      </w:r>
      <w:r>
        <w:rPr>
          <w:spacing w:val="-14"/>
          <w:w w:val="105"/>
        </w:rPr>
        <w:t> </w:t>
      </w:r>
      <w:r>
        <w:rPr>
          <w:w w:val="105"/>
        </w:rPr>
        <w:t>negli</w:t>
      </w:r>
      <w:r>
        <w:rPr>
          <w:spacing w:val="-14"/>
          <w:w w:val="105"/>
        </w:rPr>
        <w:t> </w:t>
      </w:r>
      <w:r>
        <w:rPr>
          <w:w w:val="105"/>
        </w:rPr>
        <w:t>anni</w:t>
      </w:r>
      <w:r>
        <w:rPr>
          <w:spacing w:val="-15"/>
          <w:w w:val="105"/>
        </w:rPr>
        <w:t> </w:t>
      </w:r>
      <w:r>
        <w:rPr>
          <w:w w:val="105"/>
        </w:rPr>
        <w:t>a</w:t>
      </w:r>
      <w:r>
        <w:rPr>
          <w:spacing w:val="-15"/>
          <w:w w:val="105"/>
        </w:rPr>
        <w:t> </w:t>
      </w:r>
      <w:r>
        <w:rPr>
          <w:w w:val="105"/>
        </w:rPr>
        <w:t>venire ed in misura più che proporzionale rispetto a quella totale dei carburanti liquidi perché si prevede che l’etanolo sostituirà in parte i carburanti derivanti</w:t>
      </w:r>
      <w:r>
        <w:rPr>
          <w:spacing w:val="-15"/>
          <w:w w:val="105"/>
        </w:rPr>
        <w:t> </w:t>
      </w:r>
      <w:r>
        <w:rPr>
          <w:w w:val="105"/>
        </w:rPr>
        <w:t>dal</w:t>
      </w:r>
      <w:r>
        <w:rPr>
          <w:spacing w:val="-16"/>
          <w:w w:val="105"/>
        </w:rPr>
        <w:t> </w:t>
      </w:r>
      <w:r>
        <w:rPr>
          <w:w w:val="105"/>
        </w:rPr>
        <w:t>petrolio.</w:t>
      </w:r>
      <w:r>
        <w:rPr>
          <w:spacing w:val="-15"/>
          <w:w w:val="105"/>
        </w:rPr>
        <w:t> </w:t>
      </w:r>
      <w:r>
        <w:rPr>
          <w:w w:val="105"/>
        </w:rPr>
        <w:t>In</w:t>
      </w:r>
      <w:r>
        <w:rPr>
          <w:spacing w:val="-16"/>
          <w:w w:val="105"/>
        </w:rPr>
        <w:t> </w:t>
      </w:r>
      <w:r>
        <w:rPr>
          <w:w w:val="105"/>
        </w:rPr>
        <w:t>particolare</w:t>
      </w:r>
      <w:r>
        <w:rPr>
          <w:spacing w:val="-15"/>
          <w:w w:val="105"/>
        </w:rPr>
        <w:t> </w:t>
      </w:r>
      <w:r>
        <w:rPr>
          <w:w w:val="105"/>
        </w:rPr>
        <w:t>ci</w:t>
      </w:r>
      <w:r>
        <w:rPr>
          <w:spacing w:val="-15"/>
          <w:w w:val="105"/>
        </w:rPr>
        <w:t> </w:t>
      </w:r>
      <w:r>
        <w:rPr>
          <w:w w:val="105"/>
        </w:rPr>
        <w:t>si</w:t>
      </w:r>
      <w:r>
        <w:rPr>
          <w:spacing w:val="-15"/>
          <w:w w:val="105"/>
        </w:rPr>
        <w:t> </w:t>
      </w:r>
      <w:r>
        <w:rPr>
          <w:w w:val="105"/>
        </w:rPr>
        <w:t>attende</w:t>
      </w:r>
      <w:r>
        <w:rPr>
          <w:spacing w:val="-14"/>
          <w:w w:val="105"/>
        </w:rPr>
        <w:t> </w:t>
      </w:r>
      <w:r>
        <w:rPr>
          <w:w w:val="105"/>
        </w:rPr>
        <w:t>che</w:t>
      </w:r>
      <w:r>
        <w:rPr>
          <w:spacing w:val="-15"/>
          <w:w w:val="105"/>
        </w:rPr>
        <w:t> </w:t>
      </w:r>
      <w:r>
        <w:rPr>
          <w:w w:val="105"/>
        </w:rPr>
        <w:t>l’etanolo</w:t>
      </w:r>
      <w:r>
        <w:rPr>
          <w:spacing w:val="-15"/>
          <w:w w:val="105"/>
        </w:rPr>
        <w:t> </w:t>
      </w:r>
      <w:r>
        <w:rPr>
          <w:w w:val="105"/>
        </w:rPr>
        <w:t>cellulosico</w:t>
      </w:r>
      <w:r>
        <w:rPr>
          <w:spacing w:val="-15"/>
          <w:w w:val="105"/>
        </w:rPr>
        <w:t> </w:t>
      </w:r>
      <w:r>
        <w:rPr>
          <w:w w:val="105"/>
        </w:rPr>
        <w:t>o</w:t>
      </w:r>
      <w:r>
        <w:rPr>
          <w:spacing w:val="-15"/>
          <w:w w:val="105"/>
        </w:rPr>
        <w:t> </w:t>
      </w:r>
      <w:r>
        <w:rPr>
          <w:w w:val="105"/>
        </w:rPr>
        <w:t>di seconda generazione giocherà un ruolo fondamentale nella de- carbonizzazione</w:t>
      </w:r>
      <w:r>
        <w:rPr>
          <w:spacing w:val="-9"/>
          <w:w w:val="105"/>
        </w:rPr>
        <w:t> </w:t>
      </w:r>
      <w:r>
        <w:rPr>
          <w:w w:val="105"/>
        </w:rPr>
        <w:t>del</w:t>
      </w:r>
      <w:r>
        <w:rPr>
          <w:spacing w:val="-7"/>
          <w:w w:val="105"/>
        </w:rPr>
        <w:t> </w:t>
      </w:r>
      <w:r>
        <w:rPr>
          <w:w w:val="105"/>
        </w:rPr>
        <w:t>settore</w:t>
      </w:r>
      <w:r>
        <w:rPr>
          <w:spacing w:val="-8"/>
          <w:w w:val="105"/>
        </w:rPr>
        <w:t> </w:t>
      </w:r>
      <w:r>
        <w:rPr>
          <w:w w:val="105"/>
        </w:rPr>
        <w:t>dei</w:t>
      </w:r>
      <w:r>
        <w:rPr>
          <w:spacing w:val="-8"/>
          <w:w w:val="105"/>
        </w:rPr>
        <w:t> </w:t>
      </w:r>
      <w:r>
        <w:rPr>
          <w:w w:val="105"/>
        </w:rPr>
        <w:t>trasporti</w:t>
      </w:r>
      <w:r>
        <w:rPr>
          <w:spacing w:val="-6"/>
          <w:w w:val="105"/>
        </w:rPr>
        <w:t> </w:t>
      </w:r>
      <w:r>
        <w:rPr>
          <w:w w:val="105"/>
        </w:rPr>
        <w:t>in</w:t>
      </w:r>
      <w:r>
        <w:rPr>
          <w:spacing w:val="-7"/>
          <w:w w:val="105"/>
        </w:rPr>
        <w:t> </w:t>
      </w:r>
      <w:r>
        <w:rPr>
          <w:w w:val="105"/>
        </w:rPr>
        <w:t>quanto</w:t>
      </w:r>
      <w:r>
        <w:rPr>
          <w:spacing w:val="-6"/>
          <w:w w:val="105"/>
        </w:rPr>
        <w:t> </w:t>
      </w:r>
      <w:r>
        <w:rPr>
          <w:w w:val="105"/>
        </w:rPr>
        <w:t>diversi</w:t>
      </w:r>
      <w:r>
        <w:rPr>
          <w:spacing w:val="-8"/>
          <w:w w:val="105"/>
        </w:rPr>
        <w:t> </w:t>
      </w:r>
      <w:r>
        <w:rPr>
          <w:w w:val="105"/>
        </w:rPr>
        <w:t>stati</w:t>
      </w:r>
      <w:r>
        <w:rPr>
          <w:spacing w:val="-6"/>
          <w:w w:val="105"/>
        </w:rPr>
        <w:t> </w:t>
      </w:r>
      <w:r>
        <w:rPr>
          <w:w w:val="105"/>
        </w:rPr>
        <w:t>(tra</w:t>
      </w:r>
      <w:r>
        <w:rPr>
          <w:spacing w:val="-8"/>
          <w:w w:val="105"/>
        </w:rPr>
        <w:t> </w:t>
      </w:r>
      <w:r>
        <w:rPr>
          <w:w w:val="105"/>
        </w:rPr>
        <w:t>cui</w:t>
      </w:r>
      <w:r>
        <w:rPr>
          <w:spacing w:val="-8"/>
          <w:w w:val="105"/>
        </w:rPr>
        <w:t> </w:t>
      </w:r>
      <w:r>
        <w:rPr>
          <w:w w:val="105"/>
        </w:rPr>
        <w:t>Italia, India, USA, Cina etc..) hanno recentemente approvato leggi atte ad incentivare l’uso dell’etanolo di seconda generazione (si citano, a titolo esemplificativo, la “</w:t>
      </w:r>
      <w:r>
        <w:rPr>
          <w:i/>
          <w:w w:val="105"/>
        </w:rPr>
        <w:t>Technology Roadmap: Biofuels for Transport</w:t>
      </w:r>
      <w:r>
        <w:rPr>
          <w:w w:val="105"/>
        </w:rPr>
        <w:t>” della International Energy Agency del 20 aprile 2011, nonché la direttiva CE 2014/94/UE e, a livello nazionale, il D.Lgs. 16 dicembre 2016, n. 257</w:t>
      </w:r>
      <w:r>
        <w:rPr>
          <w:spacing w:val="-1"/>
          <w:w w:val="105"/>
        </w:rPr>
        <w:t> </w:t>
      </w:r>
      <w:r>
        <w:rPr>
          <w:w w:val="105"/>
        </w:rPr>
        <w:t>oltre</w:t>
      </w:r>
    </w:p>
    <w:p>
      <w:pPr>
        <w:spacing w:after="0" w:line="491" w:lineRule="auto"/>
        <w:jc w:val="both"/>
        <w:sectPr>
          <w:pgSz w:w="12240" w:h="15840"/>
          <w:pgMar w:header="0" w:footer="790" w:top="1500" w:bottom="980" w:left="1720" w:right="1200"/>
        </w:sectPr>
      </w:pPr>
    </w:p>
    <w:p>
      <w:pPr>
        <w:tabs>
          <w:tab w:pos="1311" w:val="left" w:leader="none"/>
          <w:tab w:pos="1428" w:val="left" w:leader="none"/>
          <w:tab w:pos="1828" w:val="left" w:leader="none"/>
          <w:tab w:pos="2047" w:val="left" w:leader="none"/>
          <w:tab w:pos="2540" w:val="left" w:leader="none"/>
          <w:tab w:pos="2912" w:val="left" w:leader="none"/>
          <w:tab w:pos="3103" w:val="left" w:leader="none"/>
          <w:tab w:pos="3266" w:val="left" w:leader="none"/>
          <w:tab w:pos="4075" w:val="left" w:leader="none"/>
          <w:tab w:pos="4266" w:val="left" w:leader="none"/>
          <w:tab w:pos="4448" w:val="left" w:leader="none"/>
          <w:tab w:pos="5040" w:val="left" w:leader="none"/>
          <w:tab w:pos="5264" w:val="left" w:leader="none"/>
          <w:tab w:pos="6209" w:val="left" w:leader="none"/>
          <w:tab w:pos="6322" w:val="left" w:leader="none"/>
          <w:tab w:pos="6805" w:val="left" w:leader="none"/>
        </w:tabs>
        <w:spacing w:line="491" w:lineRule="auto" w:before="105"/>
        <w:ind w:left="400" w:right="2194" w:firstLine="0"/>
        <w:jc w:val="left"/>
        <w:rPr>
          <w:i/>
          <w:sz w:val="22"/>
        </w:rPr>
      </w:pPr>
      <w:r>
        <w:rPr>
          <w:w w:val="105"/>
          <w:sz w:val="22"/>
        </w:rPr>
        <w:t>alle “</w:t>
      </w:r>
      <w:r>
        <w:rPr>
          <w:i/>
          <w:w w:val="105"/>
          <w:sz w:val="22"/>
        </w:rPr>
        <w:t>Renewable Fuel Standard Program: Standards for 2017 and Biomass-Based </w:t>
      </w:r>
      <w:r>
        <w:rPr>
          <w:i/>
          <w:w w:val="105"/>
          <w:sz w:val="22"/>
        </w:rPr>
        <w:t>Diesel Volume for 2018</w:t>
      </w:r>
      <w:r>
        <w:rPr>
          <w:w w:val="105"/>
          <w:sz w:val="22"/>
        </w:rPr>
        <w:t>” rilasciate dalla Environmental Protection Agency (EPA)</w:t>
        <w:tab/>
        <w:t>in</w:t>
        <w:tab/>
        <w:t>data</w:t>
        <w:tab/>
        <w:t>12</w:t>
        <w:tab/>
        <w:tab/>
        <w:t>dicembre</w:t>
        <w:tab/>
        <w:tab/>
        <w:t>2016</w:t>
        <w:tab/>
        <w:t>reperibile</w:t>
        <w:tab/>
        <w:t>sul</w:t>
        <w:tab/>
      </w:r>
      <w:r>
        <w:rPr>
          <w:sz w:val="22"/>
        </w:rPr>
        <w:t>sito </w:t>
      </w:r>
      <w:hyperlink r:id="rId11">
        <w:r>
          <w:rPr>
            <w:sz w:val="22"/>
          </w:rPr>
          <w:t>https://www.gpo.gov/f</w:t>
        </w:r>
      </w:hyperlink>
      <w:r>
        <w:rPr>
          <w:sz w:val="22"/>
        </w:rPr>
        <w:t>dsys/pkg</w:t>
      </w:r>
      <w:hyperlink r:id="rId11">
        <w:r>
          <w:rPr>
            <w:sz w:val="22"/>
          </w:rPr>
          <w:t>/FR-2016-12-12/pdf/2016-28879.pdf</w:t>
        </w:r>
      </w:hyperlink>
      <w:r>
        <w:rPr>
          <w:sz w:val="22"/>
        </w:rPr>
        <w:t> e lo </w:t>
      </w:r>
      <w:r>
        <w:rPr>
          <w:w w:val="105"/>
          <w:sz w:val="22"/>
        </w:rPr>
        <w:t>Studio</w:t>
      </w:r>
      <w:r>
        <w:rPr>
          <w:spacing w:val="-5"/>
          <w:w w:val="105"/>
          <w:sz w:val="22"/>
        </w:rPr>
        <w:t> </w:t>
      </w:r>
      <w:r>
        <w:rPr>
          <w:w w:val="105"/>
          <w:sz w:val="22"/>
        </w:rPr>
        <w:t>della</w:t>
      </w:r>
      <w:r>
        <w:rPr>
          <w:spacing w:val="-5"/>
          <w:w w:val="105"/>
          <w:sz w:val="22"/>
        </w:rPr>
        <w:t> </w:t>
      </w:r>
      <w:r>
        <w:rPr>
          <w:w w:val="105"/>
          <w:sz w:val="22"/>
        </w:rPr>
        <w:t>Task</w:t>
      </w:r>
      <w:r>
        <w:rPr>
          <w:spacing w:val="-5"/>
          <w:w w:val="105"/>
          <w:sz w:val="22"/>
        </w:rPr>
        <w:t> </w:t>
      </w:r>
      <w:r>
        <w:rPr>
          <w:w w:val="105"/>
          <w:sz w:val="22"/>
        </w:rPr>
        <w:t>39</w:t>
      </w:r>
      <w:r>
        <w:rPr>
          <w:spacing w:val="-5"/>
          <w:w w:val="105"/>
          <w:sz w:val="22"/>
        </w:rPr>
        <w:t> </w:t>
      </w:r>
      <w:r>
        <w:rPr>
          <w:w w:val="105"/>
          <w:sz w:val="22"/>
        </w:rPr>
        <w:t>della</w:t>
      </w:r>
      <w:r>
        <w:rPr>
          <w:spacing w:val="-5"/>
          <w:w w:val="105"/>
          <w:sz w:val="22"/>
        </w:rPr>
        <w:t> </w:t>
      </w:r>
      <w:r>
        <w:rPr>
          <w:w w:val="105"/>
          <w:sz w:val="22"/>
        </w:rPr>
        <w:t>International</w:t>
      </w:r>
      <w:r>
        <w:rPr>
          <w:spacing w:val="-5"/>
          <w:w w:val="105"/>
          <w:sz w:val="22"/>
        </w:rPr>
        <w:t> </w:t>
      </w:r>
      <w:r>
        <w:rPr>
          <w:w w:val="105"/>
          <w:sz w:val="22"/>
        </w:rPr>
        <w:t>Energy</w:t>
      </w:r>
      <w:r>
        <w:rPr>
          <w:spacing w:val="-4"/>
          <w:w w:val="105"/>
          <w:sz w:val="22"/>
        </w:rPr>
        <w:t> </w:t>
      </w:r>
      <w:r>
        <w:rPr>
          <w:w w:val="105"/>
          <w:sz w:val="22"/>
        </w:rPr>
        <w:t>Agency</w:t>
      </w:r>
      <w:r>
        <w:rPr>
          <w:spacing w:val="-5"/>
          <w:w w:val="105"/>
          <w:sz w:val="22"/>
        </w:rPr>
        <w:t> </w:t>
      </w:r>
      <w:r>
        <w:rPr>
          <w:w w:val="105"/>
          <w:sz w:val="22"/>
        </w:rPr>
        <w:t>pubblicato</w:t>
      </w:r>
      <w:r>
        <w:rPr>
          <w:spacing w:val="-4"/>
          <w:w w:val="105"/>
          <w:sz w:val="22"/>
        </w:rPr>
        <w:t> </w:t>
      </w:r>
      <w:r>
        <w:rPr>
          <w:w w:val="105"/>
          <w:sz w:val="22"/>
        </w:rPr>
        <w:t>nel</w:t>
      </w:r>
      <w:r>
        <w:rPr>
          <w:spacing w:val="-5"/>
          <w:w w:val="105"/>
          <w:sz w:val="22"/>
        </w:rPr>
        <w:t> </w:t>
      </w:r>
      <w:r>
        <w:rPr>
          <w:w w:val="105"/>
          <w:sz w:val="22"/>
        </w:rPr>
        <w:t>2016 intitolato</w:t>
        <w:tab/>
        <w:tab/>
      </w:r>
      <w:r>
        <w:rPr>
          <w:sz w:val="22"/>
        </w:rPr>
        <w:t>“</w:t>
      </w:r>
      <w:r>
        <w:rPr>
          <w:i/>
          <w:sz w:val="22"/>
        </w:rPr>
        <w:t>The</w:t>
        <w:tab/>
        <w:tab/>
      </w:r>
      <w:r>
        <w:rPr>
          <w:i/>
          <w:w w:val="105"/>
          <w:sz w:val="22"/>
        </w:rPr>
        <w:t>potential</w:t>
        <w:tab/>
        <w:t>of</w:t>
        <w:tab/>
        <w:tab/>
        <w:t>Biofuels</w:t>
        <w:tab/>
        <w:t>in</w:t>
        <w:tab/>
        <w:tab/>
      </w:r>
      <w:r>
        <w:rPr>
          <w:i/>
          <w:sz w:val="22"/>
        </w:rPr>
        <w:t>China</w:t>
      </w:r>
      <w:r>
        <w:rPr>
          <w:sz w:val="22"/>
        </w:rPr>
        <w:t>”</w:t>
        <w:tab/>
        <w:tab/>
      </w:r>
      <w:r>
        <w:rPr>
          <w:w w:val="105"/>
          <w:sz w:val="22"/>
        </w:rPr>
        <w:t>reperibile</w:t>
        <w:tab/>
        <w:tab/>
        <w:t>sul</w:t>
        <w:tab/>
      </w:r>
      <w:r>
        <w:rPr>
          <w:sz w:val="22"/>
        </w:rPr>
        <w:t>sito </w:t>
      </w:r>
      <w:hyperlink r:id="rId12">
        <w:r>
          <w:rPr>
            <w:i/>
            <w:sz w:val="22"/>
          </w:rPr>
          <w:t>http://task39.sites.olt.ubc.ca/files/2013/05/The-Potential-of-biofuels-in-China-IEA-</w:t>
        </w:r>
      </w:hyperlink>
      <w:r>
        <w:rPr>
          <w:i/>
          <w:sz w:val="22"/>
        </w:rPr>
        <w:t> </w:t>
      </w:r>
      <w:r>
        <w:rPr>
          <w:i/>
          <w:w w:val="105"/>
          <w:sz w:val="22"/>
        </w:rPr>
        <w:t>Bioenergy-Task-39-September-2016.pdf).</w:t>
      </w:r>
    </w:p>
    <w:p>
      <w:pPr>
        <w:pStyle w:val="BodyText"/>
        <w:spacing w:line="491" w:lineRule="auto"/>
        <w:ind w:left="400" w:right="2196"/>
        <w:jc w:val="both"/>
      </w:pPr>
      <w:r>
        <w:rPr>
          <w:w w:val="105"/>
        </w:rPr>
        <w:t>In tale settore il Gruppo Ghisolfi ha, quindi, acquisito una posizione di </w:t>
      </w:r>
      <w:r>
        <w:rPr>
          <w:i/>
          <w:w w:val="105"/>
        </w:rPr>
        <w:t>leadership </w:t>
      </w:r>
      <w:r>
        <w:rPr>
          <w:w w:val="105"/>
        </w:rPr>
        <w:t>mondiale avendo sviluppato la necessaria tecnologia al proprio interno e cioè attraverso la Biochemtex, ovvero la controllante di IBP che svolge</w:t>
      </w:r>
      <w:r>
        <w:rPr>
          <w:spacing w:val="-7"/>
          <w:w w:val="105"/>
        </w:rPr>
        <w:t> </w:t>
      </w:r>
      <w:r>
        <w:rPr>
          <w:w w:val="105"/>
        </w:rPr>
        <w:t>attività</w:t>
      </w:r>
      <w:r>
        <w:rPr>
          <w:spacing w:val="-8"/>
          <w:w w:val="105"/>
        </w:rPr>
        <w:t> </w:t>
      </w:r>
      <w:r>
        <w:rPr>
          <w:w w:val="105"/>
        </w:rPr>
        <w:t>di</w:t>
      </w:r>
      <w:r>
        <w:rPr>
          <w:spacing w:val="-8"/>
          <w:w w:val="105"/>
        </w:rPr>
        <w:t> </w:t>
      </w:r>
      <w:r>
        <w:rPr>
          <w:i/>
          <w:w w:val="105"/>
        </w:rPr>
        <w:t>engineering</w:t>
      </w:r>
      <w:r>
        <w:rPr>
          <w:i/>
          <w:spacing w:val="-16"/>
          <w:w w:val="105"/>
        </w:rPr>
        <w:t> </w:t>
      </w:r>
      <w:r>
        <w:rPr>
          <w:i/>
          <w:w w:val="105"/>
        </w:rPr>
        <w:t>and</w:t>
      </w:r>
      <w:r>
        <w:rPr>
          <w:i/>
          <w:spacing w:val="-16"/>
          <w:w w:val="105"/>
        </w:rPr>
        <w:t> </w:t>
      </w:r>
      <w:r>
        <w:rPr>
          <w:i/>
          <w:w w:val="105"/>
        </w:rPr>
        <w:t>procurement</w:t>
      </w:r>
      <w:r>
        <w:rPr>
          <w:i/>
          <w:spacing w:val="-15"/>
          <w:w w:val="105"/>
        </w:rPr>
        <w:t> </w:t>
      </w:r>
      <w:r>
        <w:rPr>
          <w:w w:val="105"/>
        </w:rPr>
        <w:t>nonché</w:t>
      </w:r>
      <w:r>
        <w:rPr>
          <w:spacing w:val="-8"/>
          <w:w w:val="105"/>
        </w:rPr>
        <w:t> </w:t>
      </w:r>
      <w:r>
        <w:rPr>
          <w:w w:val="105"/>
        </w:rPr>
        <w:t>di</w:t>
      </w:r>
      <w:r>
        <w:rPr>
          <w:spacing w:val="-8"/>
          <w:w w:val="105"/>
        </w:rPr>
        <w:t> </w:t>
      </w:r>
      <w:r>
        <w:rPr>
          <w:w w:val="105"/>
        </w:rPr>
        <w:t>ricerca</w:t>
      </w:r>
      <w:r>
        <w:rPr>
          <w:spacing w:val="-7"/>
          <w:w w:val="105"/>
        </w:rPr>
        <w:t> </w:t>
      </w:r>
      <w:r>
        <w:rPr>
          <w:w w:val="105"/>
        </w:rPr>
        <w:t>e</w:t>
      </w:r>
      <w:r>
        <w:rPr>
          <w:spacing w:val="-7"/>
          <w:w w:val="105"/>
        </w:rPr>
        <w:t> </w:t>
      </w:r>
      <w:r>
        <w:rPr>
          <w:w w:val="105"/>
        </w:rPr>
        <w:t>sviluppo</w:t>
      </w:r>
      <w:r>
        <w:rPr>
          <w:spacing w:val="-10"/>
          <w:w w:val="105"/>
        </w:rPr>
        <w:t> </w:t>
      </w:r>
      <w:r>
        <w:rPr>
          <w:w w:val="105"/>
        </w:rPr>
        <w:t>anche per conto di</w:t>
      </w:r>
      <w:r>
        <w:rPr>
          <w:spacing w:val="-40"/>
          <w:w w:val="105"/>
        </w:rPr>
        <w:t> </w:t>
      </w:r>
      <w:r>
        <w:rPr>
          <w:w w:val="105"/>
        </w:rPr>
        <w:t>terzi.</w:t>
      </w:r>
    </w:p>
    <w:p>
      <w:pPr>
        <w:pStyle w:val="ListParagraph"/>
        <w:numPr>
          <w:ilvl w:val="0"/>
          <w:numId w:val="12"/>
        </w:numPr>
        <w:tabs>
          <w:tab w:pos="664" w:val="left" w:leader="none"/>
        </w:tabs>
        <w:spacing w:line="491" w:lineRule="auto" w:before="2" w:after="0"/>
        <w:ind w:left="400" w:right="2196" w:firstLine="0"/>
        <w:jc w:val="both"/>
        <w:rPr>
          <w:sz w:val="22"/>
        </w:rPr>
      </w:pPr>
      <w:r>
        <w:rPr>
          <w:w w:val="105"/>
          <w:sz w:val="22"/>
        </w:rPr>
        <w:t>La</w:t>
      </w:r>
      <w:r>
        <w:rPr>
          <w:spacing w:val="-14"/>
          <w:w w:val="105"/>
          <w:sz w:val="22"/>
        </w:rPr>
        <w:t> </w:t>
      </w:r>
      <w:r>
        <w:rPr>
          <w:w w:val="105"/>
          <w:sz w:val="22"/>
        </w:rPr>
        <w:t>seconda</w:t>
      </w:r>
      <w:r>
        <w:rPr>
          <w:spacing w:val="-14"/>
          <w:w w:val="105"/>
          <w:sz w:val="22"/>
        </w:rPr>
        <w:t> </w:t>
      </w:r>
      <w:r>
        <w:rPr>
          <w:w w:val="105"/>
          <w:sz w:val="22"/>
        </w:rPr>
        <w:t>circostanza</w:t>
      </w:r>
      <w:r>
        <w:rPr>
          <w:spacing w:val="-14"/>
          <w:w w:val="105"/>
          <w:sz w:val="22"/>
        </w:rPr>
        <w:t> </w:t>
      </w:r>
      <w:r>
        <w:rPr>
          <w:w w:val="105"/>
          <w:sz w:val="22"/>
        </w:rPr>
        <w:t>è</w:t>
      </w:r>
      <w:r>
        <w:rPr>
          <w:spacing w:val="-14"/>
          <w:w w:val="105"/>
          <w:sz w:val="22"/>
        </w:rPr>
        <w:t> </w:t>
      </w:r>
      <w:r>
        <w:rPr>
          <w:w w:val="105"/>
          <w:sz w:val="22"/>
        </w:rPr>
        <w:t>che</w:t>
      </w:r>
      <w:r>
        <w:rPr>
          <w:spacing w:val="-14"/>
          <w:w w:val="105"/>
          <w:sz w:val="22"/>
        </w:rPr>
        <w:t> </w:t>
      </w:r>
      <w:r>
        <w:rPr>
          <w:w w:val="105"/>
          <w:sz w:val="22"/>
        </w:rPr>
        <w:t>Biochemtex,</w:t>
      </w:r>
      <w:r>
        <w:rPr>
          <w:spacing w:val="-14"/>
          <w:w w:val="105"/>
          <w:sz w:val="22"/>
        </w:rPr>
        <w:t> </w:t>
      </w:r>
      <w:r>
        <w:rPr>
          <w:w w:val="105"/>
          <w:sz w:val="22"/>
        </w:rPr>
        <w:t>su</w:t>
      </w:r>
      <w:r>
        <w:rPr>
          <w:spacing w:val="-14"/>
          <w:w w:val="105"/>
          <w:sz w:val="22"/>
        </w:rPr>
        <w:t> </w:t>
      </w:r>
      <w:r>
        <w:rPr>
          <w:w w:val="105"/>
          <w:sz w:val="22"/>
        </w:rPr>
        <w:t>incarico</w:t>
      </w:r>
      <w:r>
        <w:rPr>
          <w:spacing w:val="-14"/>
          <w:w w:val="105"/>
          <w:sz w:val="22"/>
        </w:rPr>
        <w:t> </w:t>
      </w:r>
      <w:r>
        <w:rPr>
          <w:w w:val="105"/>
          <w:sz w:val="22"/>
        </w:rPr>
        <w:t>di</w:t>
      </w:r>
      <w:r>
        <w:rPr>
          <w:spacing w:val="-14"/>
          <w:w w:val="105"/>
          <w:sz w:val="22"/>
        </w:rPr>
        <w:t> </w:t>
      </w:r>
      <w:r>
        <w:rPr>
          <w:w w:val="105"/>
          <w:sz w:val="22"/>
        </w:rPr>
        <w:t>IBP,</w:t>
      </w:r>
      <w:r>
        <w:rPr>
          <w:spacing w:val="-14"/>
          <w:w w:val="105"/>
          <w:sz w:val="22"/>
        </w:rPr>
        <w:t> </w:t>
      </w:r>
      <w:r>
        <w:rPr>
          <w:w w:val="105"/>
          <w:sz w:val="22"/>
        </w:rPr>
        <w:t>ha</w:t>
      </w:r>
      <w:r>
        <w:rPr>
          <w:spacing w:val="-14"/>
          <w:w w:val="105"/>
          <w:sz w:val="22"/>
        </w:rPr>
        <w:t> </w:t>
      </w:r>
      <w:r>
        <w:rPr>
          <w:w w:val="105"/>
          <w:sz w:val="22"/>
        </w:rPr>
        <w:t>costruito a Crescentino (VC) il primo impianto al mondo per la produzione di bioetanolo</w:t>
      </w:r>
      <w:r>
        <w:rPr>
          <w:spacing w:val="-8"/>
          <w:w w:val="105"/>
          <w:sz w:val="22"/>
        </w:rPr>
        <w:t> </w:t>
      </w:r>
      <w:r>
        <w:rPr>
          <w:w w:val="105"/>
          <w:sz w:val="22"/>
        </w:rPr>
        <w:t>di</w:t>
      </w:r>
      <w:r>
        <w:rPr>
          <w:spacing w:val="-9"/>
          <w:w w:val="105"/>
          <w:sz w:val="22"/>
        </w:rPr>
        <w:t> </w:t>
      </w:r>
      <w:r>
        <w:rPr>
          <w:w w:val="105"/>
          <w:sz w:val="22"/>
        </w:rPr>
        <w:t>seconda</w:t>
      </w:r>
      <w:r>
        <w:rPr>
          <w:spacing w:val="-10"/>
          <w:w w:val="105"/>
          <w:sz w:val="22"/>
        </w:rPr>
        <w:t> </w:t>
      </w:r>
      <w:r>
        <w:rPr>
          <w:w w:val="105"/>
          <w:sz w:val="22"/>
        </w:rPr>
        <w:t>generazione,</w:t>
      </w:r>
      <w:r>
        <w:rPr>
          <w:spacing w:val="-11"/>
          <w:w w:val="105"/>
          <w:sz w:val="22"/>
        </w:rPr>
        <w:t> </w:t>
      </w:r>
      <w:r>
        <w:rPr>
          <w:w w:val="105"/>
          <w:sz w:val="22"/>
        </w:rPr>
        <w:t>che</w:t>
      </w:r>
      <w:r>
        <w:rPr>
          <w:spacing w:val="-9"/>
          <w:w w:val="105"/>
          <w:sz w:val="22"/>
        </w:rPr>
        <w:t> </w:t>
      </w:r>
      <w:r>
        <w:rPr>
          <w:w w:val="105"/>
          <w:sz w:val="22"/>
        </w:rPr>
        <w:t>ha</w:t>
      </w:r>
      <w:r>
        <w:rPr>
          <w:spacing w:val="-9"/>
          <w:w w:val="105"/>
          <w:sz w:val="22"/>
        </w:rPr>
        <w:t> </w:t>
      </w:r>
      <w:r>
        <w:rPr>
          <w:w w:val="105"/>
          <w:sz w:val="22"/>
        </w:rPr>
        <w:t>la</w:t>
      </w:r>
      <w:r>
        <w:rPr>
          <w:spacing w:val="-9"/>
          <w:w w:val="105"/>
          <w:sz w:val="22"/>
        </w:rPr>
        <w:t> </w:t>
      </w:r>
      <w:r>
        <w:rPr>
          <w:w w:val="105"/>
          <w:sz w:val="22"/>
        </w:rPr>
        <w:t>principale</w:t>
      </w:r>
      <w:r>
        <w:rPr>
          <w:spacing w:val="-10"/>
          <w:w w:val="105"/>
          <w:sz w:val="22"/>
        </w:rPr>
        <w:t> </w:t>
      </w:r>
      <w:r>
        <w:rPr>
          <w:w w:val="105"/>
          <w:sz w:val="22"/>
        </w:rPr>
        <w:t>finalità</w:t>
      </w:r>
      <w:r>
        <w:rPr>
          <w:spacing w:val="-10"/>
          <w:w w:val="105"/>
          <w:sz w:val="22"/>
        </w:rPr>
        <w:t> </w:t>
      </w:r>
      <w:r>
        <w:rPr>
          <w:w w:val="105"/>
          <w:sz w:val="22"/>
        </w:rPr>
        <w:t>di</w:t>
      </w:r>
      <w:r>
        <w:rPr>
          <w:spacing w:val="-9"/>
          <w:w w:val="105"/>
          <w:sz w:val="22"/>
        </w:rPr>
        <w:t> </w:t>
      </w:r>
      <w:r>
        <w:rPr>
          <w:w w:val="105"/>
          <w:sz w:val="22"/>
        </w:rPr>
        <w:t>fungere</w:t>
      </w:r>
      <w:r>
        <w:rPr>
          <w:spacing w:val="-9"/>
          <w:w w:val="105"/>
          <w:sz w:val="22"/>
        </w:rPr>
        <w:t> </w:t>
      </w:r>
      <w:r>
        <w:rPr>
          <w:w w:val="105"/>
          <w:sz w:val="22"/>
        </w:rPr>
        <w:t>da prototipo per dimostrare e rappresentare in concreto la validità della tecnologia messa a punto dal Gruppo Ghisolfi per la produzione del menzionato genere di bioetanolo, nonché la messa a punto sotto il profilo industriale dell’uso delle svariate biomasse che possono essere disponibili nelle</w:t>
      </w:r>
      <w:r>
        <w:rPr>
          <w:spacing w:val="-18"/>
          <w:w w:val="105"/>
          <w:sz w:val="22"/>
        </w:rPr>
        <w:t> </w:t>
      </w:r>
      <w:r>
        <w:rPr>
          <w:w w:val="105"/>
          <w:sz w:val="22"/>
        </w:rPr>
        <w:t>varie</w:t>
      </w:r>
      <w:r>
        <w:rPr>
          <w:spacing w:val="-18"/>
          <w:w w:val="105"/>
          <w:sz w:val="22"/>
        </w:rPr>
        <w:t> </w:t>
      </w:r>
      <w:r>
        <w:rPr>
          <w:w w:val="105"/>
          <w:sz w:val="22"/>
        </w:rPr>
        <w:t>parti</w:t>
      </w:r>
      <w:r>
        <w:rPr>
          <w:spacing w:val="-18"/>
          <w:w w:val="105"/>
          <w:sz w:val="22"/>
        </w:rPr>
        <w:t> </w:t>
      </w:r>
      <w:r>
        <w:rPr>
          <w:w w:val="105"/>
          <w:sz w:val="22"/>
        </w:rPr>
        <w:t>del</w:t>
      </w:r>
      <w:r>
        <w:rPr>
          <w:spacing w:val="-18"/>
          <w:w w:val="105"/>
          <w:sz w:val="22"/>
        </w:rPr>
        <w:t> </w:t>
      </w:r>
      <w:r>
        <w:rPr>
          <w:w w:val="105"/>
          <w:sz w:val="22"/>
        </w:rPr>
        <w:t>mondo.</w:t>
      </w:r>
    </w:p>
    <w:p>
      <w:pPr>
        <w:pStyle w:val="BodyText"/>
        <w:spacing w:line="491" w:lineRule="auto" w:before="1"/>
        <w:ind w:left="400" w:right="2197"/>
        <w:jc w:val="both"/>
      </w:pPr>
      <w:r>
        <w:rPr>
          <w:w w:val="105"/>
        </w:rPr>
        <w:t>La necessità di un impianto dimostrativo risiede nel fatto che l’obiettivo economico primario del Gruppo Ghisolfi era:</w:t>
      </w:r>
    </w:p>
    <w:p>
      <w:pPr>
        <w:pStyle w:val="ListParagraph"/>
        <w:numPr>
          <w:ilvl w:val="1"/>
          <w:numId w:val="12"/>
        </w:numPr>
        <w:tabs>
          <w:tab w:pos="1068" w:val="left" w:leader="none"/>
        </w:tabs>
        <w:spacing w:line="240" w:lineRule="auto" w:before="1" w:after="0"/>
        <w:ind w:left="1067" w:right="0" w:hanging="399"/>
        <w:jc w:val="left"/>
        <w:rPr>
          <w:sz w:val="22"/>
        </w:rPr>
      </w:pPr>
      <w:r>
        <w:rPr>
          <w:w w:val="105"/>
          <w:sz w:val="22"/>
        </w:rPr>
        <w:t>di concedere in licenza ad imprese terze operanti in qualsiasi  </w:t>
      </w:r>
      <w:r>
        <w:rPr>
          <w:spacing w:val="6"/>
          <w:w w:val="105"/>
          <w:sz w:val="22"/>
        </w:rPr>
        <w:t> </w:t>
      </w:r>
      <w:r>
        <w:rPr>
          <w:w w:val="105"/>
          <w:sz w:val="22"/>
        </w:rPr>
        <w:t>parte</w:t>
      </w:r>
    </w:p>
    <w:p>
      <w:pPr>
        <w:spacing w:after="0" w:line="240" w:lineRule="auto"/>
        <w:jc w:val="left"/>
        <w:rPr>
          <w:sz w:val="22"/>
        </w:rPr>
        <w:sectPr>
          <w:pgSz w:w="12240" w:h="15840"/>
          <w:pgMar w:header="0" w:footer="790" w:top="1500" w:bottom="980" w:left="1720" w:right="1200"/>
        </w:sectPr>
      </w:pPr>
    </w:p>
    <w:p>
      <w:pPr>
        <w:pStyle w:val="BodyText"/>
        <w:spacing w:line="491" w:lineRule="auto" w:before="105"/>
        <w:ind w:left="1067" w:right="2196"/>
        <w:jc w:val="both"/>
      </w:pPr>
      <w:r>
        <w:rPr>
          <w:w w:val="105"/>
        </w:rPr>
        <w:t>nel mondo, attraverso la Beta Renewables S.r.l. (controllata da Biochemtex),</w:t>
      </w:r>
      <w:r>
        <w:rPr>
          <w:spacing w:val="-11"/>
          <w:w w:val="105"/>
        </w:rPr>
        <w:t> </w:t>
      </w:r>
      <w:r>
        <w:rPr>
          <w:w w:val="105"/>
        </w:rPr>
        <w:t>i</w:t>
      </w:r>
      <w:r>
        <w:rPr>
          <w:spacing w:val="-11"/>
          <w:w w:val="105"/>
        </w:rPr>
        <w:t> </w:t>
      </w:r>
      <w:r>
        <w:rPr>
          <w:w w:val="105"/>
        </w:rPr>
        <w:t>brevetti</w:t>
      </w:r>
      <w:r>
        <w:rPr>
          <w:spacing w:val="-10"/>
          <w:w w:val="105"/>
        </w:rPr>
        <w:t> </w:t>
      </w:r>
      <w:r>
        <w:rPr>
          <w:w w:val="105"/>
        </w:rPr>
        <w:t>e</w:t>
      </w:r>
      <w:r>
        <w:rPr>
          <w:spacing w:val="-11"/>
          <w:w w:val="105"/>
        </w:rPr>
        <w:t> </w:t>
      </w:r>
      <w:r>
        <w:rPr>
          <w:w w:val="105"/>
        </w:rPr>
        <w:t>il</w:t>
      </w:r>
      <w:r>
        <w:rPr>
          <w:spacing w:val="-12"/>
          <w:w w:val="105"/>
        </w:rPr>
        <w:t> </w:t>
      </w:r>
      <w:r>
        <w:rPr>
          <w:i/>
          <w:w w:val="105"/>
        </w:rPr>
        <w:t>know</w:t>
      </w:r>
      <w:r>
        <w:rPr>
          <w:i/>
          <w:spacing w:val="-16"/>
          <w:w w:val="105"/>
        </w:rPr>
        <w:t> </w:t>
      </w:r>
      <w:r>
        <w:rPr>
          <w:i/>
          <w:w w:val="105"/>
        </w:rPr>
        <w:t>how</w:t>
      </w:r>
      <w:r>
        <w:rPr>
          <w:i/>
          <w:spacing w:val="-16"/>
          <w:w w:val="105"/>
        </w:rPr>
        <w:t> </w:t>
      </w:r>
      <w:r>
        <w:rPr>
          <w:w w:val="105"/>
        </w:rPr>
        <w:t>necessari</w:t>
      </w:r>
      <w:r>
        <w:rPr>
          <w:spacing w:val="-11"/>
          <w:w w:val="105"/>
        </w:rPr>
        <w:t> </w:t>
      </w:r>
      <w:r>
        <w:rPr>
          <w:w w:val="105"/>
        </w:rPr>
        <w:t>per</w:t>
      </w:r>
      <w:r>
        <w:rPr>
          <w:spacing w:val="-9"/>
          <w:w w:val="105"/>
        </w:rPr>
        <w:t> </w:t>
      </w:r>
      <w:r>
        <w:rPr>
          <w:w w:val="105"/>
        </w:rPr>
        <w:t>costruire,</w:t>
      </w:r>
      <w:r>
        <w:rPr>
          <w:spacing w:val="-13"/>
          <w:w w:val="105"/>
        </w:rPr>
        <w:t> </w:t>
      </w:r>
      <w:r>
        <w:rPr>
          <w:w w:val="105"/>
        </w:rPr>
        <w:t>appunto, impianti</w:t>
      </w:r>
      <w:r>
        <w:rPr>
          <w:spacing w:val="-25"/>
          <w:w w:val="105"/>
        </w:rPr>
        <w:t> </w:t>
      </w:r>
      <w:r>
        <w:rPr>
          <w:w w:val="105"/>
        </w:rPr>
        <w:t>di</w:t>
      </w:r>
      <w:r>
        <w:rPr>
          <w:spacing w:val="-25"/>
          <w:w w:val="105"/>
        </w:rPr>
        <w:t> </w:t>
      </w:r>
      <w:r>
        <w:rPr>
          <w:w w:val="105"/>
        </w:rPr>
        <w:t>bioetanolo</w:t>
      </w:r>
      <w:r>
        <w:rPr>
          <w:spacing w:val="-24"/>
          <w:w w:val="105"/>
        </w:rPr>
        <w:t> </w:t>
      </w:r>
      <w:r>
        <w:rPr>
          <w:w w:val="105"/>
        </w:rPr>
        <w:t>di</w:t>
      </w:r>
      <w:r>
        <w:rPr>
          <w:spacing w:val="-25"/>
          <w:w w:val="105"/>
        </w:rPr>
        <w:t> </w:t>
      </w:r>
      <w:r>
        <w:rPr>
          <w:w w:val="105"/>
        </w:rPr>
        <w:t>seconda</w:t>
      </w:r>
      <w:r>
        <w:rPr>
          <w:spacing w:val="-25"/>
          <w:w w:val="105"/>
        </w:rPr>
        <w:t> </w:t>
      </w:r>
      <w:r>
        <w:rPr>
          <w:w w:val="105"/>
        </w:rPr>
        <w:t>generazione;</w:t>
      </w:r>
    </w:p>
    <w:p>
      <w:pPr>
        <w:pStyle w:val="ListParagraph"/>
        <w:numPr>
          <w:ilvl w:val="1"/>
          <w:numId w:val="12"/>
        </w:numPr>
        <w:tabs>
          <w:tab w:pos="1068" w:val="left" w:leader="none"/>
        </w:tabs>
        <w:spacing w:line="491" w:lineRule="auto" w:before="0" w:after="0"/>
        <w:ind w:left="1067" w:right="2197" w:hanging="399"/>
        <w:jc w:val="both"/>
        <w:rPr>
          <w:sz w:val="22"/>
        </w:rPr>
      </w:pPr>
      <w:r>
        <w:rPr>
          <w:w w:val="105"/>
          <w:sz w:val="22"/>
        </w:rPr>
        <w:t>di progettare gli impianti di bioetanolo di seconda generazione adattando la tecnologia per le varie biomasse disponibili nei diversi territori</w:t>
      </w:r>
      <w:r>
        <w:rPr>
          <w:spacing w:val="-12"/>
          <w:w w:val="105"/>
          <w:sz w:val="22"/>
        </w:rPr>
        <w:t> </w:t>
      </w:r>
      <w:r>
        <w:rPr>
          <w:w w:val="105"/>
          <w:sz w:val="22"/>
        </w:rPr>
        <w:t>interessati,</w:t>
      </w:r>
      <w:r>
        <w:rPr>
          <w:spacing w:val="-10"/>
          <w:w w:val="105"/>
          <w:sz w:val="22"/>
        </w:rPr>
        <w:t> </w:t>
      </w:r>
      <w:r>
        <w:rPr>
          <w:w w:val="105"/>
          <w:sz w:val="22"/>
        </w:rPr>
        <w:t>nonché</w:t>
      </w:r>
      <w:r>
        <w:rPr>
          <w:spacing w:val="-11"/>
          <w:w w:val="105"/>
          <w:sz w:val="22"/>
        </w:rPr>
        <w:t> </w:t>
      </w:r>
      <w:r>
        <w:rPr>
          <w:w w:val="105"/>
          <w:sz w:val="22"/>
        </w:rPr>
        <w:t>di</w:t>
      </w:r>
      <w:r>
        <w:rPr>
          <w:spacing w:val="-10"/>
          <w:w w:val="105"/>
          <w:sz w:val="22"/>
        </w:rPr>
        <w:t> </w:t>
      </w:r>
      <w:r>
        <w:rPr>
          <w:w w:val="105"/>
          <w:sz w:val="22"/>
        </w:rPr>
        <w:t>progettare</w:t>
      </w:r>
      <w:r>
        <w:rPr>
          <w:spacing w:val="-10"/>
          <w:w w:val="105"/>
          <w:sz w:val="22"/>
        </w:rPr>
        <w:t> </w:t>
      </w:r>
      <w:r>
        <w:rPr>
          <w:w w:val="105"/>
          <w:sz w:val="22"/>
        </w:rPr>
        <w:t>e</w:t>
      </w:r>
      <w:r>
        <w:rPr>
          <w:spacing w:val="-10"/>
          <w:w w:val="105"/>
          <w:sz w:val="22"/>
        </w:rPr>
        <w:t> </w:t>
      </w:r>
      <w:r>
        <w:rPr>
          <w:w w:val="105"/>
          <w:sz w:val="22"/>
        </w:rPr>
        <w:t>fornire</w:t>
      </w:r>
      <w:r>
        <w:rPr>
          <w:spacing w:val="-11"/>
          <w:w w:val="105"/>
          <w:sz w:val="22"/>
        </w:rPr>
        <w:t> </w:t>
      </w:r>
      <w:r>
        <w:rPr>
          <w:w w:val="105"/>
          <w:sz w:val="22"/>
        </w:rPr>
        <w:t>le</w:t>
      </w:r>
      <w:r>
        <w:rPr>
          <w:spacing w:val="-10"/>
          <w:w w:val="105"/>
          <w:sz w:val="22"/>
        </w:rPr>
        <w:t> </w:t>
      </w:r>
      <w:r>
        <w:rPr>
          <w:w w:val="105"/>
          <w:sz w:val="22"/>
        </w:rPr>
        <w:t>apparecchiature critiche e avviare gli impianti in tutto il mondo attraverso Biochemtex;</w:t>
      </w:r>
    </w:p>
    <w:p>
      <w:pPr>
        <w:pStyle w:val="ListParagraph"/>
        <w:numPr>
          <w:ilvl w:val="1"/>
          <w:numId w:val="12"/>
        </w:numPr>
        <w:tabs>
          <w:tab w:pos="1068" w:val="left" w:leader="none"/>
        </w:tabs>
        <w:spacing w:line="491" w:lineRule="auto" w:before="0" w:after="0"/>
        <w:ind w:left="1067" w:right="2196" w:hanging="399"/>
        <w:jc w:val="both"/>
        <w:rPr>
          <w:sz w:val="22"/>
        </w:rPr>
      </w:pPr>
      <w:r>
        <w:rPr>
          <w:w w:val="105"/>
          <w:sz w:val="22"/>
        </w:rPr>
        <w:t>di</w:t>
      </w:r>
      <w:r>
        <w:rPr>
          <w:spacing w:val="-9"/>
          <w:w w:val="105"/>
          <w:sz w:val="22"/>
        </w:rPr>
        <w:t> </w:t>
      </w:r>
      <w:r>
        <w:rPr>
          <w:w w:val="105"/>
          <w:sz w:val="22"/>
        </w:rPr>
        <w:t>condurre</w:t>
      </w:r>
      <w:r>
        <w:rPr>
          <w:spacing w:val="-10"/>
          <w:w w:val="105"/>
          <w:sz w:val="22"/>
        </w:rPr>
        <w:t> </w:t>
      </w:r>
      <w:r>
        <w:rPr>
          <w:w w:val="105"/>
          <w:sz w:val="22"/>
        </w:rPr>
        <w:t>prove</w:t>
      </w:r>
      <w:r>
        <w:rPr>
          <w:spacing w:val="-8"/>
          <w:w w:val="105"/>
          <w:sz w:val="22"/>
        </w:rPr>
        <w:t> </w:t>
      </w:r>
      <w:r>
        <w:rPr>
          <w:w w:val="105"/>
          <w:sz w:val="22"/>
        </w:rPr>
        <w:t>su</w:t>
      </w:r>
      <w:r>
        <w:rPr>
          <w:spacing w:val="-8"/>
          <w:w w:val="105"/>
          <w:sz w:val="22"/>
        </w:rPr>
        <w:t> </w:t>
      </w:r>
      <w:r>
        <w:rPr>
          <w:w w:val="105"/>
          <w:sz w:val="22"/>
        </w:rPr>
        <w:t>diverse</w:t>
      </w:r>
      <w:r>
        <w:rPr>
          <w:spacing w:val="-7"/>
          <w:w w:val="105"/>
          <w:sz w:val="22"/>
        </w:rPr>
        <w:t> </w:t>
      </w:r>
      <w:r>
        <w:rPr>
          <w:w w:val="105"/>
          <w:sz w:val="22"/>
        </w:rPr>
        <w:t>biomasse</w:t>
      </w:r>
      <w:r>
        <w:rPr>
          <w:spacing w:val="-9"/>
          <w:w w:val="105"/>
          <w:sz w:val="22"/>
        </w:rPr>
        <w:t> </w:t>
      </w:r>
      <w:r>
        <w:rPr>
          <w:w w:val="105"/>
          <w:sz w:val="22"/>
        </w:rPr>
        <w:t>disponibili</w:t>
      </w:r>
      <w:r>
        <w:rPr>
          <w:spacing w:val="-8"/>
          <w:w w:val="105"/>
          <w:sz w:val="22"/>
        </w:rPr>
        <w:t> </w:t>
      </w:r>
      <w:r>
        <w:rPr>
          <w:w w:val="105"/>
          <w:sz w:val="22"/>
        </w:rPr>
        <w:t>nei</w:t>
      </w:r>
      <w:r>
        <w:rPr>
          <w:spacing w:val="-7"/>
          <w:w w:val="105"/>
          <w:sz w:val="22"/>
        </w:rPr>
        <w:t> </w:t>
      </w:r>
      <w:r>
        <w:rPr>
          <w:w w:val="105"/>
          <w:sz w:val="22"/>
        </w:rPr>
        <w:t>vari</w:t>
      </w:r>
      <w:r>
        <w:rPr>
          <w:spacing w:val="-9"/>
          <w:w w:val="105"/>
          <w:sz w:val="22"/>
        </w:rPr>
        <w:t> </w:t>
      </w:r>
      <w:r>
        <w:rPr>
          <w:w w:val="105"/>
          <w:sz w:val="22"/>
        </w:rPr>
        <w:t>continenti e</w:t>
      </w:r>
      <w:r>
        <w:rPr>
          <w:spacing w:val="-19"/>
          <w:w w:val="105"/>
          <w:sz w:val="22"/>
        </w:rPr>
        <w:t> </w:t>
      </w:r>
      <w:r>
        <w:rPr>
          <w:w w:val="105"/>
          <w:sz w:val="22"/>
        </w:rPr>
        <w:t>adattare</w:t>
      </w:r>
      <w:r>
        <w:rPr>
          <w:spacing w:val="-19"/>
          <w:w w:val="105"/>
          <w:sz w:val="22"/>
        </w:rPr>
        <w:t> </w:t>
      </w:r>
      <w:r>
        <w:rPr>
          <w:w w:val="105"/>
          <w:sz w:val="22"/>
        </w:rPr>
        <w:t>e</w:t>
      </w:r>
      <w:r>
        <w:rPr>
          <w:spacing w:val="-19"/>
          <w:w w:val="105"/>
          <w:sz w:val="22"/>
        </w:rPr>
        <w:t> </w:t>
      </w:r>
      <w:r>
        <w:rPr>
          <w:w w:val="105"/>
          <w:sz w:val="22"/>
        </w:rPr>
        <w:t>sviluppare</w:t>
      </w:r>
      <w:r>
        <w:rPr>
          <w:spacing w:val="-19"/>
          <w:w w:val="105"/>
          <w:sz w:val="22"/>
        </w:rPr>
        <w:t> </w:t>
      </w:r>
      <w:r>
        <w:rPr>
          <w:w w:val="105"/>
          <w:sz w:val="22"/>
        </w:rPr>
        <w:t>la</w:t>
      </w:r>
      <w:r>
        <w:rPr>
          <w:spacing w:val="-19"/>
          <w:w w:val="105"/>
          <w:sz w:val="22"/>
        </w:rPr>
        <w:t> </w:t>
      </w:r>
      <w:r>
        <w:rPr>
          <w:w w:val="105"/>
          <w:sz w:val="22"/>
        </w:rPr>
        <w:t>tecnologia</w:t>
      </w:r>
      <w:r>
        <w:rPr>
          <w:spacing w:val="-19"/>
          <w:w w:val="105"/>
          <w:sz w:val="22"/>
        </w:rPr>
        <w:t> </w:t>
      </w:r>
      <w:r>
        <w:rPr>
          <w:w w:val="105"/>
          <w:sz w:val="22"/>
        </w:rPr>
        <w:t>attraverso</w:t>
      </w:r>
      <w:r>
        <w:rPr>
          <w:spacing w:val="-18"/>
          <w:w w:val="105"/>
          <w:sz w:val="22"/>
        </w:rPr>
        <w:t> </w:t>
      </w:r>
      <w:r>
        <w:rPr>
          <w:w w:val="105"/>
          <w:sz w:val="22"/>
        </w:rPr>
        <w:t>i</w:t>
      </w:r>
      <w:r>
        <w:rPr>
          <w:spacing w:val="-19"/>
          <w:w w:val="105"/>
          <w:sz w:val="22"/>
        </w:rPr>
        <w:t> </w:t>
      </w:r>
      <w:r>
        <w:rPr>
          <w:w w:val="105"/>
          <w:sz w:val="22"/>
        </w:rPr>
        <w:t>suoi</w:t>
      </w:r>
      <w:r>
        <w:rPr>
          <w:spacing w:val="-19"/>
          <w:w w:val="105"/>
          <w:sz w:val="22"/>
        </w:rPr>
        <w:t> </w:t>
      </w:r>
      <w:r>
        <w:rPr>
          <w:w w:val="105"/>
          <w:sz w:val="22"/>
        </w:rPr>
        <w:t>laboratori.</w:t>
      </w:r>
    </w:p>
    <w:p>
      <w:pPr>
        <w:pStyle w:val="BodyText"/>
        <w:spacing w:line="491" w:lineRule="auto" w:before="1"/>
        <w:ind w:left="400" w:right="2195"/>
        <w:jc w:val="both"/>
      </w:pPr>
      <w:r>
        <w:rPr>
          <w:w w:val="105"/>
        </w:rPr>
        <w:t>Il</w:t>
      </w:r>
      <w:r>
        <w:rPr>
          <w:spacing w:val="-10"/>
          <w:w w:val="105"/>
        </w:rPr>
        <w:t> </w:t>
      </w:r>
      <w:r>
        <w:rPr>
          <w:w w:val="105"/>
        </w:rPr>
        <w:t>menzionato</w:t>
      </w:r>
      <w:r>
        <w:rPr>
          <w:spacing w:val="-11"/>
          <w:w w:val="105"/>
        </w:rPr>
        <w:t> </w:t>
      </w:r>
      <w:r>
        <w:rPr>
          <w:w w:val="105"/>
        </w:rPr>
        <w:t>obiettivo</w:t>
      </w:r>
      <w:r>
        <w:rPr>
          <w:spacing w:val="-9"/>
          <w:w w:val="105"/>
        </w:rPr>
        <w:t> </w:t>
      </w:r>
      <w:r>
        <w:rPr>
          <w:w w:val="105"/>
        </w:rPr>
        <w:t>di</w:t>
      </w:r>
      <w:r>
        <w:rPr>
          <w:spacing w:val="-10"/>
          <w:w w:val="105"/>
        </w:rPr>
        <w:t> </w:t>
      </w:r>
      <w:r>
        <w:rPr>
          <w:i/>
          <w:w w:val="105"/>
        </w:rPr>
        <w:t>business</w:t>
      </w:r>
      <w:r>
        <w:rPr>
          <w:i/>
          <w:spacing w:val="-18"/>
          <w:w w:val="105"/>
        </w:rPr>
        <w:t> </w:t>
      </w:r>
      <w:r>
        <w:rPr>
          <w:w w:val="105"/>
        </w:rPr>
        <w:t>(di</w:t>
      </w:r>
      <w:r>
        <w:rPr>
          <w:spacing w:val="-10"/>
          <w:w w:val="105"/>
        </w:rPr>
        <w:t> </w:t>
      </w:r>
      <w:r>
        <w:rPr>
          <w:w w:val="105"/>
        </w:rPr>
        <w:t>rilevantissimo</w:t>
      </w:r>
      <w:r>
        <w:rPr>
          <w:spacing w:val="-9"/>
          <w:w w:val="105"/>
        </w:rPr>
        <w:t> </w:t>
      </w:r>
      <w:r>
        <w:rPr>
          <w:w w:val="105"/>
        </w:rPr>
        <w:t>valore</w:t>
      </w:r>
      <w:r>
        <w:rPr>
          <w:spacing w:val="-10"/>
          <w:w w:val="105"/>
        </w:rPr>
        <w:t> </w:t>
      </w:r>
      <w:r>
        <w:rPr>
          <w:w w:val="105"/>
        </w:rPr>
        <w:t>economico</w:t>
      </w:r>
      <w:r>
        <w:rPr>
          <w:spacing w:val="-11"/>
          <w:w w:val="105"/>
        </w:rPr>
        <w:t> </w:t>
      </w:r>
      <w:r>
        <w:rPr>
          <w:w w:val="105"/>
        </w:rPr>
        <w:t>per</w:t>
      </w:r>
      <w:r>
        <w:rPr>
          <w:spacing w:val="-11"/>
          <w:w w:val="105"/>
        </w:rPr>
        <w:t> </w:t>
      </w:r>
      <w:r>
        <w:rPr>
          <w:w w:val="105"/>
        </w:rPr>
        <w:t>le dimensioni mondiali del mercato) non avrebbe potuto, né potrebbe, essere perseguito senza poter concretamente dimostrare, attraverso un impianto prototipo, la validità della tecnologia sviluppata dal Gruppo Ghisolfi per la produzione</w:t>
      </w:r>
      <w:r>
        <w:rPr>
          <w:spacing w:val="-14"/>
          <w:w w:val="105"/>
        </w:rPr>
        <w:t> </w:t>
      </w:r>
      <w:r>
        <w:rPr>
          <w:w w:val="105"/>
        </w:rPr>
        <w:t>di</w:t>
      </w:r>
      <w:r>
        <w:rPr>
          <w:spacing w:val="-15"/>
          <w:w w:val="105"/>
        </w:rPr>
        <w:t> </w:t>
      </w:r>
      <w:r>
        <w:rPr>
          <w:w w:val="105"/>
        </w:rPr>
        <w:t>bioetanolo</w:t>
      </w:r>
      <w:r>
        <w:rPr>
          <w:spacing w:val="-14"/>
          <w:w w:val="105"/>
        </w:rPr>
        <w:t> </w:t>
      </w:r>
      <w:r>
        <w:rPr>
          <w:w w:val="105"/>
        </w:rPr>
        <w:t>di</w:t>
      </w:r>
      <w:r>
        <w:rPr>
          <w:spacing w:val="-15"/>
          <w:w w:val="105"/>
        </w:rPr>
        <w:t> </w:t>
      </w:r>
      <w:r>
        <w:rPr>
          <w:w w:val="105"/>
        </w:rPr>
        <w:t>seconda</w:t>
      </w:r>
      <w:r>
        <w:rPr>
          <w:spacing w:val="-15"/>
          <w:w w:val="105"/>
        </w:rPr>
        <w:t> </w:t>
      </w:r>
      <w:r>
        <w:rPr>
          <w:w w:val="105"/>
        </w:rPr>
        <w:t>generazione.</w:t>
      </w:r>
      <w:r>
        <w:rPr>
          <w:spacing w:val="-14"/>
          <w:w w:val="105"/>
        </w:rPr>
        <w:t> </w:t>
      </w:r>
      <w:r>
        <w:rPr>
          <w:w w:val="105"/>
        </w:rPr>
        <w:t>Si</w:t>
      </w:r>
      <w:r>
        <w:rPr>
          <w:spacing w:val="-15"/>
          <w:w w:val="105"/>
        </w:rPr>
        <w:t> </w:t>
      </w:r>
      <w:r>
        <w:rPr>
          <w:w w:val="105"/>
        </w:rPr>
        <w:t>tratta,</w:t>
      </w:r>
      <w:r>
        <w:rPr>
          <w:spacing w:val="-16"/>
          <w:w w:val="105"/>
        </w:rPr>
        <w:t> </w:t>
      </w:r>
      <w:r>
        <w:rPr>
          <w:w w:val="105"/>
        </w:rPr>
        <w:t>in</w:t>
      </w:r>
      <w:r>
        <w:rPr>
          <w:spacing w:val="-15"/>
          <w:w w:val="105"/>
        </w:rPr>
        <w:t> </w:t>
      </w:r>
      <w:r>
        <w:rPr>
          <w:w w:val="105"/>
        </w:rPr>
        <w:t>sostanza,</w:t>
      </w:r>
      <w:r>
        <w:rPr>
          <w:spacing w:val="-14"/>
          <w:w w:val="105"/>
        </w:rPr>
        <w:t> </w:t>
      </w:r>
      <w:r>
        <w:rPr>
          <w:w w:val="105"/>
        </w:rPr>
        <w:t>di</w:t>
      </w:r>
      <w:r>
        <w:rPr>
          <w:spacing w:val="-15"/>
          <w:w w:val="105"/>
        </w:rPr>
        <w:t> </w:t>
      </w:r>
      <w:r>
        <w:rPr>
          <w:w w:val="105"/>
        </w:rPr>
        <w:t>un normale processo di lancio di qualsiasi prodotto industriale, tanto più se è innovativo,</w:t>
      </w:r>
      <w:r>
        <w:rPr>
          <w:spacing w:val="-15"/>
          <w:w w:val="105"/>
        </w:rPr>
        <w:t> </w:t>
      </w:r>
      <w:r>
        <w:rPr>
          <w:w w:val="105"/>
        </w:rPr>
        <w:t>che,</w:t>
      </w:r>
      <w:r>
        <w:rPr>
          <w:spacing w:val="-15"/>
          <w:w w:val="105"/>
        </w:rPr>
        <w:t> </w:t>
      </w:r>
      <w:r>
        <w:rPr>
          <w:w w:val="105"/>
        </w:rPr>
        <w:t>prima</w:t>
      </w:r>
      <w:r>
        <w:rPr>
          <w:spacing w:val="-15"/>
          <w:w w:val="105"/>
        </w:rPr>
        <w:t> </w:t>
      </w:r>
      <w:r>
        <w:rPr>
          <w:w w:val="105"/>
        </w:rPr>
        <w:t>della</w:t>
      </w:r>
      <w:r>
        <w:rPr>
          <w:spacing w:val="-15"/>
          <w:w w:val="105"/>
        </w:rPr>
        <w:t> </w:t>
      </w:r>
      <w:r>
        <w:rPr>
          <w:w w:val="105"/>
        </w:rPr>
        <w:t>sua</w:t>
      </w:r>
      <w:r>
        <w:rPr>
          <w:spacing w:val="-15"/>
          <w:w w:val="105"/>
        </w:rPr>
        <w:t> </w:t>
      </w:r>
      <w:r>
        <w:rPr>
          <w:w w:val="105"/>
        </w:rPr>
        <w:t>messa</w:t>
      </w:r>
      <w:r>
        <w:rPr>
          <w:spacing w:val="-15"/>
          <w:w w:val="105"/>
        </w:rPr>
        <w:t> </w:t>
      </w:r>
      <w:r>
        <w:rPr>
          <w:w w:val="105"/>
        </w:rPr>
        <w:t>in</w:t>
      </w:r>
      <w:r>
        <w:rPr>
          <w:spacing w:val="-15"/>
          <w:w w:val="105"/>
        </w:rPr>
        <w:t> </w:t>
      </w:r>
      <w:r>
        <w:rPr>
          <w:w w:val="105"/>
        </w:rPr>
        <w:t>produzione</w:t>
      </w:r>
      <w:r>
        <w:rPr>
          <w:spacing w:val="-15"/>
          <w:w w:val="105"/>
        </w:rPr>
        <w:t> </w:t>
      </w:r>
      <w:r>
        <w:rPr>
          <w:w w:val="105"/>
        </w:rPr>
        <w:t>“di</w:t>
      </w:r>
      <w:r>
        <w:rPr>
          <w:spacing w:val="-15"/>
          <w:w w:val="105"/>
        </w:rPr>
        <w:t> </w:t>
      </w:r>
      <w:r>
        <w:rPr>
          <w:w w:val="105"/>
        </w:rPr>
        <w:t>serie”,</w:t>
      </w:r>
      <w:r>
        <w:rPr>
          <w:spacing w:val="-15"/>
          <w:w w:val="105"/>
        </w:rPr>
        <w:t> </w:t>
      </w:r>
      <w:r>
        <w:rPr>
          <w:w w:val="105"/>
        </w:rPr>
        <w:t>viene</w:t>
      </w:r>
      <w:r>
        <w:rPr>
          <w:spacing w:val="-15"/>
          <w:w w:val="105"/>
        </w:rPr>
        <w:t> </w:t>
      </w:r>
      <w:r>
        <w:rPr>
          <w:w w:val="105"/>
        </w:rPr>
        <w:t>testato attraverso la costruzione di, appunto, prototipi. La peculiarità del caso di specie sta nel fatto che il prototipo è costituito da un intero impianto che, ovviamente,</w:t>
      </w:r>
      <w:r>
        <w:rPr>
          <w:spacing w:val="-8"/>
          <w:w w:val="105"/>
        </w:rPr>
        <w:t> </w:t>
      </w:r>
      <w:r>
        <w:rPr>
          <w:w w:val="105"/>
        </w:rPr>
        <w:t>per</w:t>
      </w:r>
      <w:r>
        <w:rPr>
          <w:spacing w:val="-9"/>
          <w:w w:val="105"/>
        </w:rPr>
        <w:t> </w:t>
      </w:r>
      <w:r>
        <w:rPr>
          <w:w w:val="105"/>
        </w:rPr>
        <w:t>svolgere</w:t>
      </w:r>
      <w:r>
        <w:rPr>
          <w:spacing w:val="-10"/>
          <w:w w:val="105"/>
        </w:rPr>
        <w:t> </w:t>
      </w:r>
      <w:r>
        <w:rPr>
          <w:w w:val="105"/>
        </w:rPr>
        <w:t>la</w:t>
      </w:r>
      <w:r>
        <w:rPr>
          <w:spacing w:val="-10"/>
          <w:w w:val="105"/>
        </w:rPr>
        <w:t> </w:t>
      </w:r>
      <w:r>
        <w:rPr>
          <w:w w:val="105"/>
        </w:rPr>
        <w:t>menzionata</w:t>
      </w:r>
      <w:r>
        <w:rPr>
          <w:spacing w:val="-11"/>
          <w:w w:val="105"/>
        </w:rPr>
        <w:t> </w:t>
      </w:r>
      <w:r>
        <w:rPr>
          <w:w w:val="105"/>
        </w:rPr>
        <w:t>funzione</w:t>
      </w:r>
      <w:r>
        <w:rPr>
          <w:spacing w:val="-11"/>
          <w:w w:val="105"/>
        </w:rPr>
        <w:t> </w:t>
      </w:r>
      <w:r>
        <w:rPr>
          <w:w w:val="105"/>
        </w:rPr>
        <w:t>deve</w:t>
      </w:r>
      <w:r>
        <w:rPr>
          <w:spacing w:val="-10"/>
          <w:w w:val="105"/>
        </w:rPr>
        <w:t> </w:t>
      </w:r>
      <w:r>
        <w:rPr>
          <w:w w:val="105"/>
        </w:rPr>
        <w:t>essere</w:t>
      </w:r>
      <w:r>
        <w:rPr>
          <w:spacing w:val="-9"/>
          <w:w w:val="105"/>
        </w:rPr>
        <w:t> </w:t>
      </w:r>
      <w:r>
        <w:rPr>
          <w:w w:val="105"/>
        </w:rPr>
        <w:t>operativo,</w:t>
      </w:r>
      <w:r>
        <w:rPr>
          <w:spacing w:val="-9"/>
          <w:w w:val="105"/>
        </w:rPr>
        <w:t> </w:t>
      </w:r>
      <w:r>
        <w:rPr>
          <w:w w:val="105"/>
        </w:rPr>
        <w:t>con conseguente necessità di affrontare non solo tutti i costi di costruzione, ma altresì</w:t>
      </w:r>
      <w:r>
        <w:rPr>
          <w:spacing w:val="-6"/>
          <w:w w:val="105"/>
        </w:rPr>
        <w:t> </w:t>
      </w:r>
      <w:r>
        <w:rPr>
          <w:w w:val="105"/>
        </w:rPr>
        <w:t>quelli</w:t>
      </w:r>
      <w:r>
        <w:rPr>
          <w:spacing w:val="-7"/>
          <w:w w:val="105"/>
        </w:rPr>
        <w:t> </w:t>
      </w:r>
      <w:r>
        <w:rPr>
          <w:w w:val="105"/>
        </w:rPr>
        <w:t>legati</w:t>
      </w:r>
      <w:r>
        <w:rPr>
          <w:spacing w:val="-5"/>
          <w:w w:val="105"/>
        </w:rPr>
        <w:t> </w:t>
      </w:r>
      <w:r>
        <w:rPr>
          <w:w w:val="105"/>
        </w:rPr>
        <w:t>alla</w:t>
      </w:r>
      <w:r>
        <w:rPr>
          <w:spacing w:val="-7"/>
          <w:w w:val="105"/>
        </w:rPr>
        <w:t> </w:t>
      </w:r>
      <w:r>
        <w:rPr>
          <w:w w:val="105"/>
        </w:rPr>
        <w:t>produzione</w:t>
      </w:r>
      <w:r>
        <w:rPr>
          <w:spacing w:val="-7"/>
          <w:w w:val="105"/>
        </w:rPr>
        <w:t> </w:t>
      </w:r>
      <w:r>
        <w:rPr>
          <w:w w:val="105"/>
        </w:rPr>
        <w:t>e,</w:t>
      </w:r>
      <w:r>
        <w:rPr>
          <w:spacing w:val="-7"/>
          <w:w w:val="105"/>
        </w:rPr>
        <w:t> </w:t>
      </w:r>
      <w:r>
        <w:rPr>
          <w:w w:val="105"/>
        </w:rPr>
        <w:t>quindi,</w:t>
      </w:r>
      <w:r>
        <w:rPr>
          <w:spacing w:val="-7"/>
          <w:w w:val="105"/>
        </w:rPr>
        <w:t> </w:t>
      </w:r>
      <w:r>
        <w:rPr>
          <w:w w:val="105"/>
        </w:rPr>
        <w:t>al</w:t>
      </w:r>
      <w:r>
        <w:rPr>
          <w:spacing w:val="-7"/>
          <w:w w:val="105"/>
        </w:rPr>
        <w:t> </w:t>
      </w:r>
      <w:r>
        <w:rPr>
          <w:w w:val="105"/>
        </w:rPr>
        <w:t>suo</w:t>
      </w:r>
      <w:r>
        <w:rPr>
          <w:spacing w:val="-5"/>
          <w:w w:val="105"/>
        </w:rPr>
        <w:t> </w:t>
      </w:r>
      <w:r>
        <w:rPr>
          <w:w w:val="105"/>
        </w:rPr>
        <w:t>funzionamento,</w:t>
      </w:r>
      <w:r>
        <w:rPr>
          <w:spacing w:val="-7"/>
          <w:w w:val="105"/>
        </w:rPr>
        <w:t> </w:t>
      </w:r>
      <w:r>
        <w:rPr>
          <w:w w:val="105"/>
        </w:rPr>
        <w:t>tra</w:t>
      </w:r>
      <w:r>
        <w:rPr>
          <w:spacing w:val="-7"/>
          <w:w w:val="105"/>
        </w:rPr>
        <w:t> </w:t>
      </w:r>
      <w:r>
        <w:rPr>
          <w:w w:val="105"/>
        </w:rPr>
        <w:t>cui,</w:t>
      </w:r>
      <w:r>
        <w:rPr>
          <w:spacing w:val="-6"/>
          <w:w w:val="105"/>
        </w:rPr>
        <w:t> </w:t>
      </w:r>
      <w:r>
        <w:rPr>
          <w:w w:val="105"/>
        </w:rPr>
        <w:t>a titolo esemplificativo, i costi del personale, della materia prima, del trattamento</w:t>
      </w:r>
      <w:r>
        <w:rPr>
          <w:spacing w:val="-23"/>
          <w:w w:val="105"/>
        </w:rPr>
        <w:t> </w:t>
      </w:r>
      <w:r>
        <w:rPr>
          <w:w w:val="105"/>
        </w:rPr>
        <w:t>delle</w:t>
      </w:r>
      <w:r>
        <w:rPr>
          <w:spacing w:val="-23"/>
          <w:w w:val="105"/>
        </w:rPr>
        <w:t> </w:t>
      </w:r>
      <w:r>
        <w:rPr>
          <w:w w:val="105"/>
        </w:rPr>
        <w:t>acque,</w:t>
      </w:r>
      <w:r>
        <w:rPr>
          <w:spacing w:val="-21"/>
          <w:w w:val="105"/>
        </w:rPr>
        <w:t> </w:t>
      </w:r>
      <w:r>
        <w:rPr>
          <w:w w:val="105"/>
        </w:rPr>
        <w:t>etc.</w:t>
      </w:r>
    </w:p>
    <w:p>
      <w:pPr>
        <w:spacing w:after="0" w:line="491" w:lineRule="auto"/>
        <w:jc w:val="both"/>
        <w:sectPr>
          <w:pgSz w:w="12240" w:h="15840"/>
          <w:pgMar w:header="0" w:footer="790" w:top="1500" w:bottom="980" w:left="1720" w:right="1200"/>
        </w:sectPr>
      </w:pPr>
    </w:p>
    <w:p>
      <w:pPr>
        <w:pStyle w:val="BodyText"/>
        <w:spacing w:line="491" w:lineRule="auto" w:before="105"/>
        <w:ind w:left="400" w:right="2195"/>
        <w:jc w:val="both"/>
      </w:pPr>
      <w:r>
        <w:rPr>
          <w:w w:val="105"/>
        </w:rPr>
        <w:t>A</w:t>
      </w:r>
      <w:r>
        <w:rPr>
          <w:spacing w:val="-10"/>
          <w:w w:val="105"/>
        </w:rPr>
        <w:t> </w:t>
      </w:r>
      <w:r>
        <w:rPr>
          <w:w w:val="105"/>
        </w:rPr>
        <w:t>quanto</w:t>
      </w:r>
      <w:r>
        <w:rPr>
          <w:spacing w:val="-11"/>
          <w:w w:val="105"/>
        </w:rPr>
        <w:t> </w:t>
      </w:r>
      <w:r>
        <w:rPr>
          <w:w w:val="105"/>
        </w:rPr>
        <w:t>sopra,</w:t>
      </w:r>
      <w:r>
        <w:rPr>
          <w:spacing w:val="-10"/>
          <w:w w:val="105"/>
        </w:rPr>
        <w:t> </w:t>
      </w:r>
      <w:r>
        <w:rPr>
          <w:w w:val="105"/>
        </w:rPr>
        <w:t>va</w:t>
      </w:r>
      <w:r>
        <w:rPr>
          <w:spacing w:val="-10"/>
          <w:w w:val="105"/>
        </w:rPr>
        <w:t> </w:t>
      </w:r>
      <w:r>
        <w:rPr>
          <w:w w:val="105"/>
        </w:rPr>
        <w:t>aggiunto</w:t>
      </w:r>
      <w:r>
        <w:rPr>
          <w:spacing w:val="-10"/>
          <w:w w:val="105"/>
        </w:rPr>
        <w:t> </w:t>
      </w:r>
      <w:r>
        <w:rPr>
          <w:w w:val="105"/>
        </w:rPr>
        <w:t>che</w:t>
      </w:r>
      <w:r>
        <w:rPr>
          <w:spacing w:val="-11"/>
          <w:w w:val="105"/>
        </w:rPr>
        <w:t> </w:t>
      </w:r>
      <w:r>
        <w:rPr>
          <w:w w:val="105"/>
        </w:rPr>
        <w:t>l’impianto</w:t>
      </w:r>
      <w:r>
        <w:rPr>
          <w:spacing w:val="-10"/>
          <w:w w:val="105"/>
        </w:rPr>
        <w:t> </w:t>
      </w:r>
      <w:r>
        <w:rPr>
          <w:w w:val="105"/>
        </w:rPr>
        <w:t>di</w:t>
      </w:r>
      <w:r>
        <w:rPr>
          <w:spacing w:val="-10"/>
          <w:w w:val="105"/>
        </w:rPr>
        <w:t> </w:t>
      </w:r>
      <w:r>
        <w:rPr>
          <w:w w:val="105"/>
        </w:rPr>
        <w:t>Crescentino</w:t>
      </w:r>
      <w:r>
        <w:rPr>
          <w:spacing w:val="-8"/>
          <w:w w:val="105"/>
        </w:rPr>
        <w:t> </w:t>
      </w:r>
      <w:r>
        <w:rPr>
          <w:w w:val="105"/>
        </w:rPr>
        <w:t>è</w:t>
      </w:r>
      <w:r>
        <w:rPr>
          <w:spacing w:val="-9"/>
          <w:w w:val="105"/>
        </w:rPr>
        <w:t> </w:t>
      </w:r>
      <w:r>
        <w:rPr>
          <w:w w:val="105"/>
        </w:rPr>
        <w:t>dotato</w:t>
      </w:r>
      <w:r>
        <w:rPr>
          <w:spacing w:val="-10"/>
          <w:w w:val="105"/>
        </w:rPr>
        <w:t> </w:t>
      </w:r>
      <w:r>
        <w:rPr>
          <w:w w:val="105"/>
        </w:rPr>
        <w:t>anche</w:t>
      </w:r>
      <w:r>
        <w:rPr>
          <w:spacing w:val="-10"/>
          <w:w w:val="105"/>
        </w:rPr>
        <w:t> </w:t>
      </w:r>
      <w:r>
        <w:rPr>
          <w:w w:val="105"/>
        </w:rPr>
        <w:t>di una centrale di produzione di energia elettrica, gestita da IBP, quale conduttrice del corrispondente ramo d’azienda in forza di un contratto di affitto</w:t>
      </w:r>
      <w:r>
        <w:rPr>
          <w:spacing w:val="-9"/>
          <w:w w:val="105"/>
        </w:rPr>
        <w:t> </w:t>
      </w:r>
      <w:r>
        <w:rPr>
          <w:w w:val="105"/>
        </w:rPr>
        <w:t>sottoscritto</w:t>
      </w:r>
      <w:r>
        <w:rPr>
          <w:spacing w:val="-10"/>
          <w:w w:val="105"/>
        </w:rPr>
        <w:t> </w:t>
      </w:r>
      <w:r>
        <w:rPr>
          <w:w w:val="105"/>
        </w:rPr>
        <w:t>con</w:t>
      </w:r>
      <w:r>
        <w:rPr>
          <w:spacing w:val="-10"/>
          <w:w w:val="105"/>
        </w:rPr>
        <w:t> </w:t>
      </w:r>
      <w:r>
        <w:rPr>
          <w:w w:val="105"/>
        </w:rPr>
        <w:t>la</w:t>
      </w:r>
      <w:r>
        <w:rPr>
          <w:spacing w:val="-9"/>
          <w:w w:val="105"/>
        </w:rPr>
        <w:t> </w:t>
      </w:r>
      <w:r>
        <w:rPr>
          <w:w w:val="105"/>
        </w:rPr>
        <w:t>IBP</w:t>
      </w:r>
      <w:r>
        <w:rPr>
          <w:spacing w:val="-9"/>
          <w:w w:val="105"/>
        </w:rPr>
        <w:t> </w:t>
      </w:r>
      <w:r>
        <w:rPr>
          <w:w w:val="105"/>
        </w:rPr>
        <w:t>Energia,</w:t>
      </w:r>
      <w:r>
        <w:rPr>
          <w:spacing w:val="-10"/>
          <w:w w:val="105"/>
        </w:rPr>
        <w:t> </w:t>
      </w:r>
      <w:r>
        <w:rPr>
          <w:w w:val="105"/>
        </w:rPr>
        <w:t>anch’essa</w:t>
      </w:r>
      <w:r>
        <w:rPr>
          <w:spacing w:val="-10"/>
          <w:w w:val="105"/>
        </w:rPr>
        <w:t> </w:t>
      </w:r>
      <w:r>
        <w:rPr>
          <w:w w:val="105"/>
        </w:rPr>
        <w:t>controllata</w:t>
      </w:r>
      <w:r>
        <w:rPr>
          <w:spacing w:val="-9"/>
          <w:w w:val="105"/>
        </w:rPr>
        <w:t> </w:t>
      </w:r>
      <w:r>
        <w:rPr>
          <w:w w:val="105"/>
        </w:rPr>
        <w:t>da</w:t>
      </w:r>
      <w:r>
        <w:rPr>
          <w:spacing w:val="-10"/>
          <w:w w:val="105"/>
        </w:rPr>
        <w:t> </w:t>
      </w:r>
      <w:r>
        <w:rPr>
          <w:w w:val="105"/>
        </w:rPr>
        <w:t>Biochemtex, con un canone trimestrale di € 1,6 milioni, sufficiente a quest’ultima per pagare</w:t>
      </w:r>
      <w:r>
        <w:rPr>
          <w:spacing w:val="-4"/>
          <w:w w:val="105"/>
        </w:rPr>
        <w:t> </w:t>
      </w:r>
      <w:r>
        <w:rPr>
          <w:w w:val="105"/>
        </w:rPr>
        <w:t>le</w:t>
      </w:r>
      <w:r>
        <w:rPr>
          <w:spacing w:val="-5"/>
          <w:w w:val="105"/>
        </w:rPr>
        <w:t> </w:t>
      </w:r>
      <w:r>
        <w:rPr>
          <w:w w:val="105"/>
        </w:rPr>
        <w:t>rate</w:t>
      </w:r>
      <w:r>
        <w:rPr>
          <w:spacing w:val="-6"/>
          <w:w w:val="105"/>
        </w:rPr>
        <w:t> </w:t>
      </w:r>
      <w:r>
        <w:rPr>
          <w:w w:val="105"/>
        </w:rPr>
        <w:t>del</w:t>
      </w:r>
      <w:r>
        <w:rPr>
          <w:spacing w:val="-5"/>
          <w:w w:val="105"/>
        </w:rPr>
        <w:t> </w:t>
      </w:r>
      <w:r>
        <w:rPr>
          <w:w w:val="105"/>
        </w:rPr>
        <w:t>leasing,</w:t>
      </w:r>
      <w:r>
        <w:rPr>
          <w:spacing w:val="-4"/>
          <w:w w:val="105"/>
        </w:rPr>
        <w:t> </w:t>
      </w:r>
      <w:r>
        <w:rPr>
          <w:w w:val="105"/>
        </w:rPr>
        <w:t>a</w:t>
      </w:r>
      <w:r>
        <w:rPr>
          <w:spacing w:val="-5"/>
          <w:w w:val="105"/>
        </w:rPr>
        <w:t> </w:t>
      </w:r>
      <w:r>
        <w:rPr>
          <w:w w:val="105"/>
        </w:rPr>
        <w:t>suo</w:t>
      </w:r>
      <w:r>
        <w:rPr>
          <w:spacing w:val="-4"/>
          <w:w w:val="105"/>
        </w:rPr>
        <w:t> </w:t>
      </w:r>
      <w:r>
        <w:rPr>
          <w:w w:val="105"/>
        </w:rPr>
        <w:t>tempo</w:t>
      </w:r>
      <w:r>
        <w:rPr>
          <w:spacing w:val="-5"/>
          <w:w w:val="105"/>
        </w:rPr>
        <w:t> </w:t>
      </w:r>
      <w:r>
        <w:rPr>
          <w:w w:val="105"/>
        </w:rPr>
        <w:t>concesso</w:t>
      </w:r>
      <w:r>
        <w:rPr>
          <w:spacing w:val="-4"/>
          <w:w w:val="105"/>
        </w:rPr>
        <w:t> </w:t>
      </w:r>
      <w:r>
        <w:rPr>
          <w:w w:val="105"/>
        </w:rPr>
        <w:t>da</w:t>
      </w:r>
      <w:r>
        <w:rPr>
          <w:spacing w:val="-6"/>
          <w:w w:val="105"/>
        </w:rPr>
        <w:t> </w:t>
      </w:r>
      <w:r>
        <w:rPr>
          <w:w w:val="105"/>
        </w:rPr>
        <w:t>Unicredit</w:t>
      </w:r>
      <w:r>
        <w:rPr>
          <w:spacing w:val="-4"/>
          <w:w w:val="105"/>
        </w:rPr>
        <w:t> </w:t>
      </w:r>
      <w:r>
        <w:rPr>
          <w:w w:val="105"/>
        </w:rPr>
        <w:t>Leasing,</w:t>
      </w:r>
      <w:r>
        <w:rPr>
          <w:spacing w:val="-5"/>
          <w:w w:val="105"/>
        </w:rPr>
        <w:t> </w:t>
      </w:r>
      <w:r>
        <w:rPr>
          <w:w w:val="105"/>
        </w:rPr>
        <w:t>per</w:t>
      </w:r>
      <w:r>
        <w:rPr>
          <w:spacing w:val="-4"/>
          <w:w w:val="105"/>
        </w:rPr>
        <w:t> </w:t>
      </w:r>
      <w:r>
        <w:rPr>
          <w:w w:val="105"/>
        </w:rPr>
        <w:t>la costruzione</w:t>
      </w:r>
      <w:r>
        <w:rPr>
          <w:spacing w:val="-30"/>
          <w:w w:val="105"/>
        </w:rPr>
        <w:t> </w:t>
      </w:r>
      <w:r>
        <w:rPr>
          <w:w w:val="105"/>
        </w:rPr>
        <w:t>della</w:t>
      </w:r>
      <w:r>
        <w:rPr>
          <w:spacing w:val="-30"/>
          <w:w w:val="105"/>
        </w:rPr>
        <w:t> </w:t>
      </w:r>
      <w:r>
        <w:rPr>
          <w:w w:val="105"/>
        </w:rPr>
        <w:t>centrale</w:t>
      </w:r>
      <w:r>
        <w:rPr>
          <w:spacing w:val="-31"/>
          <w:w w:val="105"/>
        </w:rPr>
        <w:t> </w:t>
      </w:r>
      <w:r>
        <w:rPr>
          <w:w w:val="105"/>
        </w:rPr>
        <w:t>medesima.</w:t>
      </w:r>
    </w:p>
    <w:p>
      <w:pPr>
        <w:pStyle w:val="BodyText"/>
        <w:spacing w:line="491" w:lineRule="auto" w:before="1"/>
        <w:ind w:left="400" w:right="2196"/>
        <w:jc w:val="both"/>
      </w:pPr>
      <w:r>
        <w:rPr>
          <w:w w:val="105"/>
        </w:rPr>
        <w:t>L’energia elettrica prodotta dal menzionato impianto (alimentato dalla lignina prodotta dall’impianto produttivo di bioetanolo della IBP) viene in parte venduta sul mercato con utilizzazione degli incentivi dei cd. certificati verdi,</w:t>
      </w:r>
      <w:r>
        <w:rPr>
          <w:spacing w:val="-16"/>
          <w:w w:val="105"/>
        </w:rPr>
        <w:t> </w:t>
      </w:r>
      <w:r>
        <w:rPr>
          <w:w w:val="105"/>
        </w:rPr>
        <w:t>e</w:t>
      </w:r>
      <w:r>
        <w:rPr>
          <w:spacing w:val="-17"/>
          <w:w w:val="105"/>
        </w:rPr>
        <w:t> </w:t>
      </w:r>
      <w:r>
        <w:rPr>
          <w:w w:val="105"/>
        </w:rPr>
        <w:t>in</w:t>
      </w:r>
      <w:r>
        <w:rPr>
          <w:spacing w:val="-17"/>
          <w:w w:val="105"/>
        </w:rPr>
        <w:t> </w:t>
      </w:r>
      <w:r>
        <w:rPr>
          <w:w w:val="105"/>
        </w:rPr>
        <w:t>altra</w:t>
      </w:r>
      <w:r>
        <w:rPr>
          <w:spacing w:val="-17"/>
          <w:w w:val="105"/>
        </w:rPr>
        <w:t> </w:t>
      </w:r>
      <w:r>
        <w:rPr>
          <w:w w:val="105"/>
        </w:rPr>
        <w:t>parte</w:t>
      </w:r>
      <w:r>
        <w:rPr>
          <w:spacing w:val="-17"/>
          <w:w w:val="105"/>
        </w:rPr>
        <w:t> </w:t>
      </w:r>
      <w:r>
        <w:rPr>
          <w:w w:val="105"/>
        </w:rPr>
        <w:t>per</w:t>
      </w:r>
      <w:r>
        <w:rPr>
          <w:spacing w:val="-17"/>
          <w:w w:val="105"/>
        </w:rPr>
        <w:t> </w:t>
      </w:r>
      <w:r>
        <w:rPr>
          <w:w w:val="105"/>
        </w:rPr>
        <w:t>il</w:t>
      </w:r>
      <w:r>
        <w:rPr>
          <w:spacing w:val="-16"/>
          <w:w w:val="105"/>
        </w:rPr>
        <w:t> </w:t>
      </w:r>
      <w:r>
        <w:rPr>
          <w:w w:val="105"/>
        </w:rPr>
        <w:t>funzionamento</w:t>
      </w:r>
      <w:r>
        <w:rPr>
          <w:spacing w:val="-17"/>
          <w:w w:val="105"/>
        </w:rPr>
        <w:t> </w:t>
      </w:r>
      <w:r>
        <w:rPr>
          <w:w w:val="105"/>
        </w:rPr>
        <w:t>dell’impianto</w:t>
      </w:r>
      <w:r>
        <w:rPr>
          <w:spacing w:val="-17"/>
          <w:w w:val="105"/>
        </w:rPr>
        <w:t> </w:t>
      </w:r>
      <w:r>
        <w:rPr>
          <w:w w:val="105"/>
        </w:rPr>
        <w:t>stesso</w:t>
      </w:r>
      <w:r>
        <w:rPr>
          <w:spacing w:val="-16"/>
          <w:w w:val="105"/>
        </w:rPr>
        <w:t> </w:t>
      </w:r>
      <w:r>
        <w:rPr>
          <w:w w:val="105"/>
        </w:rPr>
        <w:t>riducendone</w:t>
      </w:r>
      <w:r>
        <w:rPr>
          <w:spacing w:val="-15"/>
          <w:w w:val="105"/>
        </w:rPr>
        <w:t> </w:t>
      </w:r>
      <w:r>
        <w:rPr>
          <w:w w:val="105"/>
        </w:rPr>
        <w:t>i costi di produzione. Tale attività genera mediamente cassa nella misura di circa</w:t>
      </w:r>
      <w:r>
        <w:rPr>
          <w:spacing w:val="-22"/>
          <w:w w:val="105"/>
        </w:rPr>
        <w:t> </w:t>
      </w:r>
      <w:r>
        <w:rPr>
          <w:w w:val="105"/>
        </w:rPr>
        <w:t>€1</w:t>
      </w:r>
      <w:r>
        <w:rPr>
          <w:spacing w:val="-22"/>
          <w:w w:val="105"/>
        </w:rPr>
        <w:t> </w:t>
      </w:r>
      <w:r>
        <w:rPr>
          <w:w w:val="105"/>
        </w:rPr>
        <w:t>milione/</w:t>
      </w:r>
      <w:r>
        <w:rPr>
          <w:spacing w:val="-22"/>
          <w:w w:val="105"/>
        </w:rPr>
        <w:t> </w:t>
      </w:r>
      <w:r>
        <w:rPr>
          <w:w w:val="105"/>
        </w:rPr>
        <w:t>mese.</w:t>
      </w:r>
    </w:p>
    <w:p>
      <w:pPr>
        <w:pStyle w:val="BodyText"/>
        <w:spacing w:line="491" w:lineRule="auto" w:before="1"/>
        <w:ind w:left="400" w:right="2195" w:hanging="1"/>
        <w:jc w:val="both"/>
      </w:pPr>
      <w:r>
        <w:rPr>
          <w:w w:val="105"/>
        </w:rPr>
        <w:t>Come già rilevato nel ricorso ex art. 161, comma sesto, L.F., è necessario rammentare</w:t>
      </w:r>
      <w:r>
        <w:rPr>
          <w:spacing w:val="-3"/>
          <w:w w:val="105"/>
        </w:rPr>
        <w:t> </w:t>
      </w:r>
      <w:r>
        <w:rPr>
          <w:w w:val="105"/>
        </w:rPr>
        <w:t>per</w:t>
      </w:r>
      <w:r>
        <w:rPr>
          <w:spacing w:val="-5"/>
          <w:w w:val="105"/>
        </w:rPr>
        <w:t> </w:t>
      </w:r>
      <w:r>
        <w:rPr>
          <w:w w:val="105"/>
        </w:rPr>
        <w:t>una</w:t>
      </w:r>
      <w:r>
        <w:rPr>
          <w:spacing w:val="-4"/>
          <w:w w:val="105"/>
        </w:rPr>
        <w:t> </w:t>
      </w:r>
      <w:r>
        <w:rPr>
          <w:w w:val="105"/>
        </w:rPr>
        <w:t>corretta</w:t>
      </w:r>
      <w:r>
        <w:rPr>
          <w:spacing w:val="-6"/>
          <w:w w:val="105"/>
        </w:rPr>
        <w:t> </w:t>
      </w:r>
      <w:r>
        <w:rPr>
          <w:w w:val="105"/>
        </w:rPr>
        <w:t>lettura</w:t>
      </w:r>
      <w:r>
        <w:rPr>
          <w:spacing w:val="-5"/>
          <w:w w:val="105"/>
        </w:rPr>
        <w:t> </w:t>
      </w:r>
      <w:r>
        <w:rPr>
          <w:w w:val="105"/>
        </w:rPr>
        <w:t>della</w:t>
      </w:r>
      <w:r>
        <w:rPr>
          <w:spacing w:val="-5"/>
          <w:w w:val="105"/>
        </w:rPr>
        <w:t> </w:t>
      </w:r>
      <w:r>
        <w:rPr>
          <w:w w:val="105"/>
        </w:rPr>
        <w:t>presente</w:t>
      </w:r>
      <w:r>
        <w:rPr>
          <w:spacing w:val="-4"/>
          <w:w w:val="105"/>
        </w:rPr>
        <w:t> </w:t>
      </w:r>
      <w:r>
        <w:rPr>
          <w:w w:val="105"/>
        </w:rPr>
        <w:t>relazione,</w:t>
      </w:r>
      <w:r>
        <w:rPr>
          <w:spacing w:val="-3"/>
          <w:w w:val="105"/>
        </w:rPr>
        <w:t> </w:t>
      </w:r>
      <w:r>
        <w:rPr>
          <w:w w:val="105"/>
        </w:rPr>
        <w:t>che</w:t>
      </w:r>
      <w:r>
        <w:rPr>
          <w:spacing w:val="-5"/>
          <w:w w:val="105"/>
        </w:rPr>
        <w:t> </w:t>
      </w:r>
      <w:r>
        <w:rPr>
          <w:w w:val="105"/>
        </w:rPr>
        <w:t>la</w:t>
      </w:r>
      <w:r>
        <w:rPr>
          <w:spacing w:val="-5"/>
          <w:w w:val="105"/>
        </w:rPr>
        <w:t> </w:t>
      </w:r>
      <w:r>
        <w:rPr>
          <w:w w:val="105"/>
        </w:rPr>
        <w:t>crisi</w:t>
      </w:r>
      <w:r>
        <w:rPr>
          <w:spacing w:val="-5"/>
          <w:w w:val="105"/>
        </w:rPr>
        <w:t> </w:t>
      </w:r>
      <w:r>
        <w:rPr>
          <w:w w:val="105"/>
        </w:rPr>
        <w:t>che ha</w:t>
      </w:r>
      <w:r>
        <w:rPr>
          <w:spacing w:val="-6"/>
          <w:w w:val="105"/>
        </w:rPr>
        <w:t> </w:t>
      </w:r>
      <w:r>
        <w:rPr>
          <w:w w:val="105"/>
        </w:rPr>
        <w:t>colpito</w:t>
      </w:r>
      <w:r>
        <w:rPr>
          <w:spacing w:val="-9"/>
          <w:w w:val="105"/>
        </w:rPr>
        <w:t> </w:t>
      </w:r>
      <w:r>
        <w:rPr>
          <w:w w:val="105"/>
        </w:rPr>
        <w:t>Biochemtex</w:t>
      </w:r>
      <w:r>
        <w:rPr>
          <w:spacing w:val="-8"/>
          <w:w w:val="105"/>
        </w:rPr>
        <w:t> </w:t>
      </w:r>
      <w:r>
        <w:rPr>
          <w:w w:val="105"/>
        </w:rPr>
        <w:t>è</w:t>
      </w:r>
      <w:r>
        <w:rPr>
          <w:spacing w:val="-6"/>
          <w:w w:val="105"/>
        </w:rPr>
        <w:t> </w:t>
      </w:r>
      <w:r>
        <w:rPr>
          <w:w w:val="105"/>
        </w:rPr>
        <w:t>conseguenza,</w:t>
      </w:r>
      <w:r>
        <w:rPr>
          <w:spacing w:val="-7"/>
          <w:w w:val="105"/>
        </w:rPr>
        <w:t> </w:t>
      </w:r>
      <w:r>
        <w:rPr>
          <w:w w:val="105"/>
        </w:rPr>
        <w:t>in</w:t>
      </w:r>
      <w:r>
        <w:rPr>
          <w:spacing w:val="-6"/>
          <w:w w:val="105"/>
        </w:rPr>
        <w:t> </w:t>
      </w:r>
      <w:r>
        <w:rPr>
          <w:w w:val="105"/>
        </w:rPr>
        <w:t>primis,</w:t>
      </w:r>
      <w:r>
        <w:rPr>
          <w:spacing w:val="-6"/>
          <w:w w:val="105"/>
        </w:rPr>
        <w:t> </w:t>
      </w:r>
      <w:r>
        <w:rPr>
          <w:w w:val="105"/>
        </w:rPr>
        <w:t>delle</w:t>
      </w:r>
      <w:r>
        <w:rPr>
          <w:spacing w:val="-7"/>
          <w:w w:val="105"/>
        </w:rPr>
        <w:t> </w:t>
      </w:r>
      <w:r>
        <w:rPr>
          <w:w w:val="105"/>
        </w:rPr>
        <w:t>problematiche</w:t>
      </w:r>
      <w:r>
        <w:rPr>
          <w:spacing w:val="-6"/>
          <w:w w:val="105"/>
        </w:rPr>
        <w:t> </w:t>
      </w:r>
      <w:r>
        <w:rPr>
          <w:w w:val="105"/>
        </w:rPr>
        <w:t>e</w:t>
      </w:r>
      <w:r>
        <w:rPr>
          <w:spacing w:val="-6"/>
          <w:w w:val="105"/>
        </w:rPr>
        <w:t> </w:t>
      </w:r>
      <w:r>
        <w:rPr>
          <w:w w:val="105"/>
        </w:rPr>
        <w:t>degli imprevisti e consistenti extra costi che si sono verificati nel corso dello sviluppo e industrializzazione dell'impianto di bioetanolo. Difficoltà successivamente</w:t>
      </w:r>
      <w:r>
        <w:rPr>
          <w:spacing w:val="-15"/>
          <w:w w:val="105"/>
        </w:rPr>
        <w:t> </w:t>
      </w:r>
      <w:r>
        <w:rPr>
          <w:w w:val="105"/>
        </w:rPr>
        <w:t>aggravate</w:t>
      </w:r>
      <w:r>
        <w:rPr>
          <w:spacing w:val="-15"/>
          <w:w w:val="105"/>
        </w:rPr>
        <w:t> </w:t>
      </w:r>
      <w:r>
        <w:rPr>
          <w:w w:val="105"/>
        </w:rPr>
        <w:t>in</w:t>
      </w:r>
      <w:r>
        <w:rPr>
          <w:spacing w:val="-15"/>
          <w:w w:val="105"/>
        </w:rPr>
        <w:t> </w:t>
      </w:r>
      <w:r>
        <w:rPr>
          <w:w w:val="105"/>
        </w:rPr>
        <w:t>ragione</w:t>
      </w:r>
      <w:r>
        <w:rPr>
          <w:spacing w:val="-14"/>
          <w:w w:val="105"/>
        </w:rPr>
        <w:t> </w:t>
      </w:r>
      <w:r>
        <w:rPr>
          <w:w w:val="105"/>
        </w:rPr>
        <w:t>della</w:t>
      </w:r>
      <w:r>
        <w:rPr>
          <w:spacing w:val="-15"/>
          <w:w w:val="105"/>
        </w:rPr>
        <w:t> </w:t>
      </w:r>
      <w:r>
        <w:rPr>
          <w:w w:val="105"/>
        </w:rPr>
        <w:t>crisi</w:t>
      </w:r>
      <w:r>
        <w:rPr>
          <w:spacing w:val="-15"/>
          <w:w w:val="105"/>
        </w:rPr>
        <w:t> </w:t>
      </w:r>
      <w:r>
        <w:rPr>
          <w:w w:val="105"/>
        </w:rPr>
        <w:t>che</w:t>
      </w:r>
      <w:r>
        <w:rPr>
          <w:spacing w:val="-15"/>
          <w:w w:val="105"/>
        </w:rPr>
        <w:t> </w:t>
      </w:r>
      <w:r>
        <w:rPr>
          <w:w w:val="105"/>
        </w:rPr>
        <w:t>ha</w:t>
      </w:r>
      <w:r>
        <w:rPr>
          <w:spacing w:val="-15"/>
          <w:w w:val="105"/>
        </w:rPr>
        <w:t> </w:t>
      </w:r>
      <w:r>
        <w:rPr>
          <w:w w:val="105"/>
        </w:rPr>
        <w:t>colpito</w:t>
      </w:r>
      <w:r>
        <w:rPr>
          <w:spacing w:val="-15"/>
          <w:w w:val="105"/>
        </w:rPr>
        <w:t> </w:t>
      </w:r>
      <w:r>
        <w:rPr>
          <w:w w:val="105"/>
        </w:rPr>
        <w:t>l’esponente,</w:t>
      </w:r>
      <w:r>
        <w:rPr>
          <w:spacing w:val="-15"/>
          <w:w w:val="105"/>
        </w:rPr>
        <w:t> </w:t>
      </w:r>
      <w:r>
        <w:rPr>
          <w:w w:val="105"/>
        </w:rPr>
        <w:t>la quale, ai sensi dei contratti di appalto “chiavi in mano” sottoscritti con la IBP si è accollata i rischi degli extra-costi per la costruzione e l’avviamento dell’impianto di Crescentino e successivamente ha sostenuto con ripetuti aumenti di capitale le perdite operative di IBP. La narrativa che segue includerà</w:t>
      </w:r>
      <w:r>
        <w:rPr>
          <w:spacing w:val="-8"/>
          <w:w w:val="105"/>
        </w:rPr>
        <w:t> </w:t>
      </w:r>
      <w:r>
        <w:rPr>
          <w:w w:val="105"/>
        </w:rPr>
        <w:t>necessariamente</w:t>
      </w:r>
      <w:r>
        <w:rPr>
          <w:spacing w:val="-7"/>
          <w:w w:val="105"/>
        </w:rPr>
        <w:t> </w:t>
      </w:r>
      <w:r>
        <w:rPr>
          <w:w w:val="105"/>
        </w:rPr>
        <w:t>riferimenti</w:t>
      </w:r>
      <w:r>
        <w:rPr>
          <w:spacing w:val="-7"/>
          <w:w w:val="105"/>
        </w:rPr>
        <w:t> </w:t>
      </w:r>
      <w:r>
        <w:rPr>
          <w:w w:val="105"/>
        </w:rPr>
        <w:t>a</w:t>
      </w:r>
      <w:r>
        <w:rPr>
          <w:spacing w:val="-9"/>
          <w:w w:val="105"/>
        </w:rPr>
        <w:t> </w:t>
      </w:r>
      <w:r>
        <w:rPr>
          <w:w w:val="105"/>
        </w:rPr>
        <w:t>tali</w:t>
      </w:r>
      <w:r>
        <w:rPr>
          <w:spacing w:val="-9"/>
          <w:w w:val="105"/>
        </w:rPr>
        <w:t> </w:t>
      </w:r>
      <w:r>
        <w:rPr>
          <w:w w:val="105"/>
        </w:rPr>
        <w:t>altre</w:t>
      </w:r>
      <w:r>
        <w:rPr>
          <w:spacing w:val="-7"/>
          <w:w w:val="105"/>
        </w:rPr>
        <w:t> </w:t>
      </w:r>
      <w:r>
        <w:rPr>
          <w:w w:val="105"/>
        </w:rPr>
        <w:t>società,</w:t>
      </w:r>
      <w:r>
        <w:rPr>
          <w:spacing w:val="-9"/>
          <w:w w:val="105"/>
        </w:rPr>
        <w:t> </w:t>
      </w:r>
      <w:r>
        <w:rPr>
          <w:w w:val="105"/>
        </w:rPr>
        <w:t>rimanendo</w:t>
      </w:r>
      <w:r>
        <w:rPr>
          <w:spacing w:val="-8"/>
          <w:w w:val="105"/>
        </w:rPr>
        <w:t> </w:t>
      </w:r>
      <w:r>
        <w:rPr>
          <w:w w:val="105"/>
        </w:rPr>
        <w:t>peraltro</w:t>
      </w:r>
    </w:p>
    <w:p>
      <w:pPr>
        <w:spacing w:after="0" w:line="491" w:lineRule="auto"/>
        <w:jc w:val="both"/>
        <w:sectPr>
          <w:pgSz w:w="12240" w:h="15840"/>
          <w:pgMar w:header="0" w:footer="790" w:top="1500" w:bottom="980" w:left="1720" w:right="1200"/>
        </w:sectPr>
      </w:pPr>
    </w:p>
    <w:p>
      <w:pPr>
        <w:pStyle w:val="BodyText"/>
        <w:spacing w:before="105"/>
        <w:ind w:left="400"/>
        <w:jc w:val="both"/>
      </w:pPr>
      <w:r>
        <w:rPr>
          <w:w w:val="105"/>
        </w:rPr>
        <w:t>al centro dell’attenzione della presente relazione l’impianto di Crescentino.</w:t>
      </w:r>
    </w:p>
    <w:p>
      <w:pPr>
        <w:pStyle w:val="BodyText"/>
        <w:spacing w:before="6"/>
        <w:rPr>
          <w:sz w:val="21"/>
        </w:rPr>
      </w:pPr>
    </w:p>
    <w:p>
      <w:pPr>
        <w:pStyle w:val="Heading1"/>
        <w:spacing w:line="451" w:lineRule="auto"/>
        <w:ind w:left="400" w:right="2195" w:firstLine="0"/>
        <w:jc w:val="both"/>
      </w:pPr>
      <w:r>
        <w:rPr/>
        <w:t>4.1.2 L’attività di ricerca e sviluppo della tecnologia per la produzione di etanolo di c.d. ”seconda generazione” e la fase di costruzione dell’impianto dimostrativo di Crescentino affidata a Biochemtex</w:t>
      </w:r>
    </w:p>
    <w:p>
      <w:pPr>
        <w:pStyle w:val="BodyText"/>
        <w:spacing w:line="491" w:lineRule="auto" w:before="18"/>
        <w:ind w:left="400" w:right="2195"/>
        <w:jc w:val="both"/>
      </w:pPr>
      <w:r>
        <w:rPr>
          <w:w w:val="105"/>
        </w:rPr>
        <w:t>L’impianto di Crescentino rappresenta il momento finale di un processo di innovazione e ricerca iniziato nel 2006 su un’idea dell’Ingegner Guido Ghisolfi</w:t>
      </w:r>
      <w:r>
        <w:rPr>
          <w:spacing w:val="-9"/>
          <w:w w:val="105"/>
        </w:rPr>
        <w:t> </w:t>
      </w:r>
      <w:r>
        <w:rPr>
          <w:w w:val="105"/>
        </w:rPr>
        <w:t>il</w:t>
      </w:r>
      <w:r>
        <w:rPr>
          <w:spacing w:val="-9"/>
          <w:w w:val="105"/>
        </w:rPr>
        <w:t> </w:t>
      </w:r>
      <w:r>
        <w:rPr>
          <w:w w:val="105"/>
        </w:rPr>
        <w:t>quale,</w:t>
      </w:r>
      <w:r>
        <w:rPr>
          <w:spacing w:val="-9"/>
          <w:w w:val="105"/>
        </w:rPr>
        <w:t> </w:t>
      </w:r>
      <w:r>
        <w:rPr>
          <w:w w:val="105"/>
        </w:rPr>
        <w:t>con</w:t>
      </w:r>
      <w:r>
        <w:rPr>
          <w:spacing w:val="-11"/>
          <w:w w:val="105"/>
        </w:rPr>
        <w:t> </w:t>
      </w:r>
      <w:r>
        <w:rPr>
          <w:w w:val="105"/>
        </w:rPr>
        <w:t>l’ausilio</w:t>
      </w:r>
      <w:r>
        <w:rPr>
          <w:spacing w:val="-9"/>
          <w:w w:val="105"/>
        </w:rPr>
        <w:t> </w:t>
      </w:r>
      <w:r>
        <w:rPr>
          <w:w w:val="105"/>
        </w:rPr>
        <w:t>e</w:t>
      </w:r>
      <w:r>
        <w:rPr>
          <w:spacing w:val="-9"/>
          <w:w w:val="105"/>
        </w:rPr>
        <w:t> </w:t>
      </w:r>
      <w:r>
        <w:rPr>
          <w:w w:val="105"/>
        </w:rPr>
        <w:t>supporto</w:t>
      </w:r>
      <w:r>
        <w:rPr>
          <w:spacing w:val="-9"/>
          <w:w w:val="105"/>
        </w:rPr>
        <w:t> </w:t>
      </w:r>
      <w:r>
        <w:rPr>
          <w:w w:val="105"/>
        </w:rPr>
        <w:t>del</w:t>
      </w:r>
      <w:r>
        <w:rPr>
          <w:spacing w:val="-9"/>
          <w:w w:val="105"/>
        </w:rPr>
        <w:t> </w:t>
      </w:r>
      <w:r>
        <w:rPr>
          <w:w w:val="105"/>
        </w:rPr>
        <w:t>centro</w:t>
      </w:r>
      <w:r>
        <w:rPr>
          <w:spacing w:val="-9"/>
          <w:w w:val="105"/>
        </w:rPr>
        <w:t> </w:t>
      </w:r>
      <w:r>
        <w:rPr>
          <w:w w:val="105"/>
        </w:rPr>
        <w:t>di</w:t>
      </w:r>
      <w:r>
        <w:rPr>
          <w:spacing w:val="-9"/>
          <w:w w:val="105"/>
        </w:rPr>
        <w:t> </w:t>
      </w:r>
      <w:r>
        <w:rPr>
          <w:w w:val="105"/>
        </w:rPr>
        <w:t>ricerca</w:t>
      </w:r>
      <w:r>
        <w:rPr>
          <w:spacing w:val="-11"/>
          <w:w w:val="105"/>
        </w:rPr>
        <w:t> </w:t>
      </w:r>
      <w:r>
        <w:rPr>
          <w:w w:val="105"/>
        </w:rPr>
        <w:t>di</w:t>
      </w:r>
      <w:r>
        <w:rPr>
          <w:spacing w:val="-9"/>
          <w:w w:val="105"/>
        </w:rPr>
        <w:t> </w:t>
      </w:r>
      <w:r>
        <w:rPr>
          <w:w w:val="105"/>
        </w:rPr>
        <w:t>Biochemtex (allora</w:t>
      </w:r>
      <w:r>
        <w:rPr>
          <w:spacing w:val="-7"/>
          <w:w w:val="105"/>
        </w:rPr>
        <w:t> </w:t>
      </w:r>
      <w:r>
        <w:rPr>
          <w:w w:val="105"/>
        </w:rPr>
        <w:t>Chemtex</w:t>
      </w:r>
      <w:r>
        <w:rPr>
          <w:spacing w:val="-6"/>
          <w:w w:val="105"/>
        </w:rPr>
        <w:t> </w:t>
      </w:r>
      <w:r>
        <w:rPr>
          <w:w w:val="105"/>
        </w:rPr>
        <w:t>Italia),</w:t>
      </w:r>
      <w:r>
        <w:rPr>
          <w:spacing w:val="-4"/>
          <w:w w:val="105"/>
        </w:rPr>
        <w:t> </w:t>
      </w:r>
      <w:r>
        <w:rPr>
          <w:w w:val="105"/>
        </w:rPr>
        <w:t>ha</w:t>
      </w:r>
      <w:r>
        <w:rPr>
          <w:spacing w:val="-5"/>
          <w:w w:val="105"/>
        </w:rPr>
        <w:t> </w:t>
      </w:r>
      <w:r>
        <w:rPr>
          <w:w w:val="105"/>
        </w:rPr>
        <w:t>iniziato</w:t>
      </w:r>
      <w:r>
        <w:rPr>
          <w:spacing w:val="-5"/>
          <w:w w:val="105"/>
        </w:rPr>
        <w:t> </w:t>
      </w:r>
      <w:r>
        <w:rPr>
          <w:w w:val="105"/>
        </w:rPr>
        <w:t>a</w:t>
      </w:r>
      <w:r>
        <w:rPr>
          <w:spacing w:val="-5"/>
          <w:w w:val="105"/>
        </w:rPr>
        <w:t> </w:t>
      </w:r>
      <w:r>
        <w:rPr>
          <w:w w:val="105"/>
        </w:rPr>
        <w:t>studiare</w:t>
      </w:r>
      <w:r>
        <w:rPr>
          <w:spacing w:val="-4"/>
          <w:w w:val="105"/>
        </w:rPr>
        <w:t> </w:t>
      </w:r>
      <w:r>
        <w:rPr>
          <w:w w:val="105"/>
        </w:rPr>
        <w:t>la</w:t>
      </w:r>
      <w:r>
        <w:rPr>
          <w:spacing w:val="-4"/>
          <w:w w:val="105"/>
        </w:rPr>
        <w:t> </w:t>
      </w:r>
      <w:r>
        <w:rPr>
          <w:w w:val="105"/>
        </w:rPr>
        <w:t>tecnologia</w:t>
      </w:r>
      <w:r>
        <w:rPr>
          <w:spacing w:val="-6"/>
          <w:w w:val="105"/>
        </w:rPr>
        <w:t> </w:t>
      </w:r>
      <w:r>
        <w:rPr>
          <w:w w:val="105"/>
        </w:rPr>
        <w:t>per</w:t>
      </w:r>
      <w:r>
        <w:rPr>
          <w:spacing w:val="-4"/>
          <w:w w:val="105"/>
        </w:rPr>
        <w:t> </w:t>
      </w:r>
      <w:r>
        <w:rPr>
          <w:w w:val="105"/>
        </w:rPr>
        <w:t>la</w:t>
      </w:r>
      <w:r>
        <w:rPr>
          <w:spacing w:val="-5"/>
          <w:w w:val="105"/>
        </w:rPr>
        <w:t> </w:t>
      </w:r>
      <w:r>
        <w:rPr>
          <w:w w:val="105"/>
        </w:rPr>
        <w:t>produzione di etanolo da biomassa non alimentare (bioetanolo cellulosico). Come già detto, si tratta di una tecnologia cosiddetta di “seconda generazione” che permette di utilizzare gli zuccheri presenti nelle biomasse lignocellulosiche per ottenere carburanti e altri prodotti chimici con minori emissioni di gas climalteranti e a costi competitivi rispetto alle fonti fossili (petrolio, gas naturale).</w:t>
      </w:r>
    </w:p>
    <w:p>
      <w:pPr>
        <w:pStyle w:val="BodyText"/>
        <w:spacing w:line="491" w:lineRule="auto" w:before="1"/>
        <w:ind w:left="400" w:right="2196"/>
        <w:jc w:val="both"/>
      </w:pPr>
      <w:r>
        <w:rPr>
          <w:w w:val="105"/>
        </w:rPr>
        <w:t>La</w:t>
      </w:r>
      <w:r>
        <w:rPr>
          <w:spacing w:val="-17"/>
          <w:w w:val="105"/>
        </w:rPr>
        <w:t> </w:t>
      </w:r>
      <w:r>
        <w:rPr>
          <w:w w:val="105"/>
        </w:rPr>
        <w:t>produzione</w:t>
      </w:r>
      <w:r>
        <w:rPr>
          <w:spacing w:val="-16"/>
          <w:w w:val="105"/>
        </w:rPr>
        <w:t> </w:t>
      </w:r>
      <w:r>
        <w:rPr>
          <w:w w:val="105"/>
        </w:rPr>
        <w:t>di</w:t>
      </w:r>
      <w:r>
        <w:rPr>
          <w:spacing w:val="-17"/>
          <w:w w:val="105"/>
        </w:rPr>
        <w:t> </w:t>
      </w:r>
      <w:r>
        <w:rPr>
          <w:w w:val="105"/>
        </w:rPr>
        <w:t>tale</w:t>
      </w:r>
      <w:r>
        <w:rPr>
          <w:spacing w:val="-17"/>
          <w:w w:val="105"/>
        </w:rPr>
        <w:t> </w:t>
      </w:r>
      <w:r>
        <w:rPr>
          <w:w w:val="105"/>
        </w:rPr>
        <w:t>tipologia</w:t>
      </w:r>
      <w:r>
        <w:rPr>
          <w:spacing w:val="-17"/>
          <w:w w:val="105"/>
        </w:rPr>
        <w:t> </w:t>
      </w:r>
      <w:r>
        <w:rPr>
          <w:w w:val="105"/>
        </w:rPr>
        <w:t>di</w:t>
      </w:r>
      <w:r>
        <w:rPr>
          <w:spacing w:val="-17"/>
          <w:w w:val="105"/>
        </w:rPr>
        <w:t> </w:t>
      </w:r>
      <w:r>
        <w:rPr>
          <w:w w:val="105"/>
        </w:rPr>
        <w:t>carburante</w:t>
      </w:r>
      <w:r>
        <w:rPr>
          <w:spacing w:val="-17"/>
          <w:w w:val="105"/>
        </w:rPr>
        <w:t> </w:t>
      </w:r>
      <w:r>
        <w:rPr>
          <w:w w:val="105"/>
        </w:rPr>
        <w:t>è</w:t>
      </w:r>
      <w:r>
        <w:rPr>
          <w:spacing w:val="-17"/>
          <w:w w:val="105"/>
        </w:rPr>
        <w:t> </w:t>
      </w:r>
      <w:r>
        <w:rPr>
          <w:w w:val="105"/>
        </w:rPr>
        <w:t>oggetto</w:t>
      </w:r>
      <w:r>
        <w:rPr>
          <w:spacing w:val="-15"/>
          <w:w w:val="105"/>
        </w:rPr>
        <w:t> </w:t>
      </w:r>
      <w:r>
        <w:rPr>
          <w:w w:val="105"/>
        </w:rPr>
        <w:t>di</w:t>
      </w:r>
      <w:r>
        <w:rPr>
          <w:spacing w:val="-17"/>
          <w:w w:val="105"/>
        </w:rPr>
        <w:t> </w:t>
      </w:r>
      <w:r>
        <w:rPr>
          <w:w w:val="105"/>
        </w:rPr>
        <w:t>specifica</w:t>
      </w:r>
      <w:r>
        <w:rPr>
          <w:spacing w:val="-17"/>
          <w:w w:val="105"/>
        </w:rPr>
        <w:t> </w:t>
      </w:r>
      <w:r>
        <w:rPr>
          <w:w w:val="105"/>
        </w:rPr>
        <w:t>normativa a livello mondiale (v. </w:t>
      </w:r>
      <w:r>
        <w:rPr>
          <w:i/>
          <w:w w:val="105"/>
        </w:rPr>
        <w:t>supra</w:t>
      </w:r>
      <w:r>
        <w:rPr>
          <w:w w:val="105"/>
        </w:rPr>
        <w:t>), sicché il suo mercato di sviluppo è assai vasto</w:t>
      </w:r>
      <w:r>
        <w:rPr>
          <w:spacing w:val="-28"/>
          <w:w w:val="105"/>
        </w:rPr>
        <w:t> </w:t>
      </w:r>
      <w:r>
        <w:rPr>
          <w:w w:val="105"/>
        </w:rPr>
        <w:t>e questa è stata una delle ragioni per le quali il Gruppo Mossi &amp; Ghisolfi ha deciso di effettuare il correlato rilevante investimento, oltre che per diversificare</w:t>
      </w:r>
      <w:r>
        <w:rPr>
          <w:spacing w:val="-25"/>
          <w:w w:val="105"/>
        </w:rPr>
        <w:t> </w:t>
      </w:r>
      <w:r>
        <w:rPr>
          <w:w w:val="105"/>
        </w:rPr>
        <w:t>la</w:t>
      </w:r>
      <w:r>
        <w:rPr>
          <w:spacing w:val="-24"/>
          <w:w w:val="105"/>
        </w:rPr>
        <w:t> </w:t>
      </w:r>
      <w:r>
        <w:rPr>
          <w:w w:val="105"/>
        </w:rPr>
        <w:t>propria</w:t>
      </w:r>
      <w:r>
        <w:rPr>
          <w:spacing w:val="-25"/>
          <w:w w:val="105"/>
        </w:rPr>
        <w:t> </w:t>
      </w:r>
      <w:r>
        <w:rPr>
          <w:w w:val="105"/>
        </w:rPr>
        <w:t>attività</w:t>
      </w:r>
      <w:r>
        <w:rPr>
          <w:spacing w:val="-25"/>
          <w:w w:val="105"/>
        </w:rPr>
        <w:t> </w:t>
      </w:r>
      <w:r>
        <w:rPr>
          <w:w w:val="105"/>
        </w:rPr>
        <w:t>storicamente</w:t>
      </w:r>
      <w:r>
        <w:rPr>
          <w:spacing w:val="-24"/>
          <w:w w:val="105"/>
        </w:rPr>
        <w:t> </w:t>
      </w:r>
      <w:r>
        <w:rPr>
          <w:w w:val="105"/>
        </w:rPr>
        <w:t>incentrata</w:t>
      </w:r>
      <w:r>
        <w:rPr>
          <w:spacing w:val="-24"/>
          <w:w w:val="105"/>
        </w:rPr>
        <w:t> </w:t>
      </w:r>
      <w:r>
        <w:rPr>
          <w:w w:val="105"/>
        </w:rPr>
        <w:t>sul</w:t>
      </w:r>
      <w:r>
        <w:rPr>
          <w:spacing w:val="-24"/>
          <w:w w:val="105"/>
        </w:rPr>
        <w:t> </w:t>
      </w:r>
      <w:r>
        <w:rPr>
          <w:w w:val="105"/>
        </w:rPr>
        <w:t>PET.</w:t>
      </w:r>
    </w:p>
    <w:p>
      <w:pPr>
        <w:pStyle w:val="BodyText"/>
        <w:spacing w:line="491" w:lineRule="auto"/>
        <w:ind w:left="400" w:right="2195"/>
        <w:jc w:val="both"/>
      </w:pPr>
      <w:r>
        <w:rPr>
          <w:w w:val="105"/>
        </w:rPr>
        <w:t>Come detto, l’impianto di Crescentino è un impianto dimostrativo: la sua produzione ed efficienza sono, infatti, strumentali alla vendita di licenze e d'ingegneria per la costruzione di analoghi impianti, nel mondo, da parte rispettivamente di Beta Renewables e Biochemtex.  Si tratta di un impianto</w:t>
      </w:r>
    </w:p>
    <w:p>
      <w:pPr>
        <w:spacing w:after="0" w:line="491" w:lineRule="auto"/>
        <w:jc w:val="both"/>
        <w:sectPr>
          <w:pgSz w:w="12240" w:h="15840"/>
          <w:pgMar w:header="0" w:footer="790" w:top="1500" w:bottom="980" w:left="1720" w:right="1200"/>
        </w:sectPr>
      </w:pPr>
    </w:p>
    <w:p>
      <w:pPr>
        <w:pStyle w:val="BodyText"/>
        <w:spacing w:line="491" w:lineRule="auto" w:before="105"/>
        <w:ind w:left="400" w:right="2195"/>
        <w:jc w:val="both"/>
      </w:pPr>
      <w:r>
        <w:rPr>
          <w:w w:val="105"/>
        </w:rPr>
        <w:t>estremamente innovativo e l'unico al mondo che abbia dimostrato la possibilità di produrre, su scala industriale e continuativa, bioetanolo cellulosico,</w:t>
      </w:r>
      <w:r>
        <w:rPr>
          <w:spacing w:val="-5"/>
          <w:w w:val="105"/>
        </w:rPr>
        <w:t> </w:t>
      </w:r>
      <w:r>
        <w:rPr>
          <w:w w:val="105"/>
        </w:rPr>
        <w:t>il</w:t>
      </w:r>
      <w:r>
        <w:rPr>
          <w:spacing w:val="-6"/>
          <w:w w:val="105"/>
        </w:rPr>
        <w:t> </w:t>
      </w:r>
      <w:r>
        <w:rPr>
          <w:w w:val="105"/>
        </w:rPr>
        <w:t>cui</w:t>
      </w:r>
      <w:r>
        <w:rPr>
          <w:spacing w:val="-5"/>
          <w:w w:val="105"/>
        </w:rPr>
        <w:t> </w:t>
      </w:r>
      <w:r>
        <w:rPr>
          <w:w w:val="105"/>
        </w:rPr>
        <w:t>avvio,</w:t>
      </w:r>
      <w:r>
        <w:rPr>
          <w:spacing w:val="-4"/>
          <w:w w:val="105"/>
        </w:rPr>
        <w:t> </w:t>
      </w:r>
      <w:r>
        <w:rPr>
          <w:w w:val="105"/>
        </w:rPr>
        <w:t>si</w:t>
      </w:r>
      <w:r>
        <w:rPr>
          <w:spacing w:val="-7"/>
          <w:w w:val="105"/>
        </w:rPr>
        <w:t> </w:t>
      </w:r>
      <w:r>
        <w:rPr>
          <w:w w:val="105"/>
        </w:rPr>
        <w:t>sa,</w:t>
      </w:r>
      <w:r>
        <w:rPr>
          <w:spacing w:val="-6"/>
          <w:w w:val="105"/>
        </w:rPr>
        <w:t> </w:t>
      </w:r>
      <w:r>
        <w:rPr>
          <w:w w:val="105"/>
        </w:rPr>
        <w:t>ha</w:t>
      </w:r>
      <w:r>
        <w:rPr>
          <w:spacing w:val="-4"/>
          <w:w w:val="105"/>
        </w:rPr>
        <w:t> </w:t>
      </w:r>
      <w:r>
        <w:rPr>
          <w:w w:val="105"/>
        </w:rPr>
        <w:t>registrato</w:t>
      </w:r>
      <w:r>
        <w:rPr>
          <w:spacing w:val="-5"/>
          <w:w w:val="105"/>
        </w:rPr>
        <w:t> </w:t>
      </w:r>
      <w:r>
        <w:rPr>
          <w:w w:val="105"/>
        </w:rPr>
        <w:t>i</w:t>
      </w:r>
      <w:r>
        <w:rPr>
          <w:spacing w:val="-4"/>
          <w:w w:val="105"/>
        </w:rPr>
        <w:t> </w:t>
      </w:r>
      <w:r>
        <w:rPr>
          <w:w w:val="105"/>
        </w:rPr>
        <w:t>forti</w:t>
      </w:r>
      <w:r>
        <w:rPr>
          <w:spacing w:val="-5"/>
          <w:w w:val="105"/>
        </w:rPr>
        <w:t> </w:t>
      </w:r>
      <w:r>
        <w:rPr>
          <w:w w:val="105"/>
        </w:rPr>
        <w:t>ritardi</w:t>
      </w:r>
      <w:r>
        <w:rPr>
          <w:spacing w:val="-5"/>
          <w:w w:val="105"/>
        </w:rPr>
        <w:t> </w:t>
      </w:r>
      <w:r>
        <w:rPr>
          <w:w w:val="105"/>
        </w:rPr>
        <w:t>meglio</w:t>
      </w:r>
      <w:r>
        <w:rPr>
          <w:spacing w:val="-5"/>
          <w:w w:val="105"/>
        </w:rPr>
        <w:t> </w:t>
      </w:r>
      <w:r>
        <w:rPr>
          <w:w w:val="105"/>
        </w:rPr>
        <w:t>descritti</w:t>
      </w:r>
      <w:r>
        <w:rPr>
          <w:spacing w:val="-5"/>
          <w:w w:val="105"/>
        </w:rPr>
        <w:t> </w:t>
      </w:r>
      <w:r>
        <w:rPr>
          <w:w w:val="105"/>
        </w:rPr>
        <w:t>nella memoria</w:t>
      </w:r>
      <w:r>
        <w:rPr>
          <w:spacing w:val="-6"/>
          <w:w w:val="105"/>
        </w:rPr>
        <w:t> </w:t>
      </w:r>
      <w:r>
        <w:rPr>
          <w:w w:val="105"/>
        </w:rPr>
        <w:t>di</w:t>
      </w:r>
      <w:r>
        <w:rPr>
          <w:spacing w:val="-5"/>
          <w:w w:val="105"/>
        </w:rPr>
        <w:t> </w:t>
      </w:r>
      <w:r>
        <w:rPr>
          <w:w w:val="105"/>
        </w:rPr>
        <w:t>deposito</w:t>
      </w:r>
      <w:r>
        <w:rPr>
          <w:spacing w:val="-6"/>
          <w:w w:val="105"/>
        </w:rPr>
        <w:t> </w:t>
      </w:r>
      <w:r>
        <w:rPr>
          <w:w w:val="105"/>
        </w:rPr>
        <w:t>di</w:t>
      </w:r>
      <w:r>
        <w:rPr>
          <w:spacing w:val="-6"/>
          <w:w w:val="105"/>
        </w:rPr>
        <w:t> </w:t>
      </w:r>
      <w:r>
        <w:rPr>
          <w:w w:val="105"/>
        </w:rPr>
        <w:t>piano</w:t>
      </w:r>
      <w:r>
        <w:rPr>
          <w:spacing w:val="-6"/>
          <w:w w:val="105"/>
        </w:rPr>
        <w:t> </w:t>
      </w:r>
      <w:r>
        <w:rPr>
          <w:w w:val="105"/>
        </w:rPr>
        <w:t>e</w:t>
      </w:r>
      <w:r>
        <w:rPr>
          <w:spacing w:val="-5"/>
          <w:w w:val="105"/>
        </w:rPr>
        <w:t> </w:t>
      </w:r>
      <w:r>
        <w:rPr>
          <w:w w:val="105"/>
        </w:rPr>
        <w:t>proposta</w:t>
      </w:r>
      <w:r>
        <w:rPr>
          <w:spacing w:val="-4"/>
          <w:w w:val="105"/>
        </w:rPr>
        <w:t> </w:t>
      </w:r>
      <w:r>
        <w:rPr>
          <w:w w:val="105"/>
        </w:rPr>
        <w:t>già</w:t>
      </w:r>
      <w:r>
        <w:rPr>
          <w:spacing w:val="-5"/>
          <w:w w:val="105"/>
        </w:rPr>
        <w:t> </w:t>
      </w:r>
      <w:r>
        <w:rPr>
          <w:w w:val="105"/>
        </w:rPr>
        <w:t>depositata</w:t>
      </w:r>
      <w:r>
        <w:rPr>
          <w:spacing w:val="-5"/>
          <w:w w:val="105"/>
        </w:rPr>
        <w:t> </w:t>
      </w:r>
      <w:r>
        <w:rPr>
          <w:w w:val="105"/>
        </w:rPr>
        <w:t>da</w:t>
      </w:r>
      <w:r>
        <w:rPr>
          <w:spacing w:val="-5"/>
          <w:w w:val="105"/>
        </w:rPr>
        <w:t> </w:t>
      </w:r>
      <w:r>
        <w:rPr>
          <w:w w:val="105"/>
        </w:rPr>
        <w:t>IBP</w:t>
      </w:r>
      <w:r>
        <w:rPr>
          <w:spacing w:val="-4"/>
          <w:w w:val="105"/>
        </w:rPr>
        <w:t> </w:t>
      </w:r>
      <w:r>
        <w:rPr>
          <w:w w:val="105"/>
        </w:rPr>
        <w:t>(che</w:t>
      </w:r>
      <w:r>
        <w:rPr>
          <w:spacing w:val="-5"/>
          <w:w w:val="105"/>
        </w:rPr>
        <w:t> </w:t>
      </w:r>
      <w:r>
        <w:rPr>
          <w:w w:val="105"/>
        </w:rPr>
        <w:t>qui</w:t>
      </w:r>
      <w:r>
        <w:rPr>
          <w:spacing w:val="-5"/>
          <w:w w:val="105"/>
        </w:rPr>
        <w:t> </w:t>
      </w:r>
      <w:r>
        <w:rPr>
          <w:w w:val="105"/>
        </w:rPr>
        <w:t>ci</w:t>
      </w:r>
      <w:r>
        <w:rPr>
          <w:spacing w:val="-5"/>
          <w:w w:val="105"/>
        </w:rPr>
        <w:t> </w:t>
      </w:r>
      <w:r>
        <w:rPr>
          <w:w w:val="105"/>
        </w:rPr>
        <w:t>si permette</w:t>
      </w:r>
      <w:r>
        <w:rPr>
          <w:spacing w:val="-32"/>
          <w:w w:val="105"/>
        </w:rPr>
        <w:t> </w:t>
      </w:r>
      <w:r>
        <w:rPr>
          <w:w w:val="105"/>
        </w:rPr>
        <w:t>di</w:t>
      </w:r>
      <w:r>
        <w:rPr>
          <w:spacing w:val="-33"/>
          <w:w w:val="105"/>
        </w:rPr>
        <w:t> </w:t>
      </w:r>
      <w:r>
        <w:rPr>
          <w:w w:val="105"/>
        </w:rPr>
        <w:t>richiamare).</w:t>
      </w:r>
    </w:p>
    <w:p>
      <w:pPr>
        <w:pStyle w:val="BodyText"/>
        <w:spacing w:before="1"/>
        <w:ind w:left="476" w:right="2272"/>
        <w:jc w:val="center"/>
      </w:pPr>
      <w:r>
        <w:rPr>
          <w:w w:val="105"/>
        </w:rPr>
        <w:t>* * *</w:t>
      </w:r>
    </w:p>
    <w:p>
      <w:pPr>
        <w:pStyle w:val="BodyText"/>
        <w:spacing w:before="1"/>
        <w:rPr>
          <w:sz w:val="23"/>
        </w:rPr>
      </w:pPr>
    </w:p>
    <w:p>
      <w:pPr>
        <w:pStyle w:val="Heading2"/>
        <w:numPr>
          <w:ilvl w:val="1"/>
          <w:numId w:val="13"/>
        </w:numPr>
        <w:tabs>
          <w:tab w:pos="1067" w:val="left" w:leader="none"/>
        </w:tabs>
        <w:spacing w:line="240" w:lineRule="auto" w:before="0" w:after="0"/>
        <w:ind w:left="1066" w:right="0" w:hanging="666"/>
        <w:jc w:val="both"/>
      </w:pPr>
      <w:bookmarkStart w:name="_TOC_250041" w:id="11"/>
      <w:r>
        <w:rPr>
          <w:w w:val="105"/>
          <w:u w:val="single"/>
        </w:rPr>
        <w:t>I</w:t>
      </w:r>
      <w:r>
        <w:rPr>
          <w:spacing w:val="-20"/>
          <w:w w:val="105"/>
          <w:u w:val="single"/>
        </w:rPr>
        <w:t> </w:t>
      </w:r>
      <w:r>
        <w:rPr>
          <w:w w:val="105"/>
          <w:u w:val="single"/>
        </w:rPr>
        <w:t>principali</w:t>
      </w:r>
      <w:r>
        <w:rPr>
          <w:spacing w:val="-22"/>
          <w:w w:val="105"/>
          <w:u w:val="single"/>
        </w:rPr>
        <w:t> </w:t>
      </w:r>
      <w:r>
        <w:rPr>
          <w:w w:val="105"/>
          <w:u w:val="single"/>
        </w:rPr>
        <w:t>accadimenti</w:t>
      </w:r>
      <w:r>
        <w:rPr>
          <w:spacing w:val="-22"/>
          <w:w w:val="105"/>
          <w:u w:val="single"/>
        </w:rPr>
        <w:t> </w:t>
      </w:r>
      <w:r>
        <w:rPr>
          <w:w w:val="105"/>
          <w:u w:val="single"/>
        </w:rPr>
        <w:t>sociali</w:t>
      </w:r>
      <w:r>
        <w:rPr>
          <w:spacing w:val="-22"/>
          <w:w w:val="105"/>
          <w:u w:val="single"/>
        </w:rPr>
        <w:t> </w:t>
      </w:r>
      <w:r>
        <w:rPr>
          <w:w w:val="105"/>
          <w:u w:val="single"/>
        </w:rPr>
        <w:t>a</w:t>
      </w:r>
      <w:r>
        <w:rPr>
          <w:spacing w:val="-21"/>
          <w:w w:val="105"/>
          <w:u w:val="single"/>
        </w:rPr>
        <w:t> </w:t>
      </w:r>
      <w:r>
        <w:rPr>
          <w:w w:val="105"/>
          <w:u w:val="single"/>
        </w:rPr>
        <w:t>partire</w:t>
      </w:r>
      <w:r>
        <w:rPr>
          <w:spacing w:val="-22"/>
          <w:w w:val="105"/>
          <w:u w:val="single"/>
        </w:rPr>
        <w:t> </w:t>
      </w:r>
      <w:r>
        <w:rPr>
          <w:w w:val="105"/>
          <w:u w:val="single"/>
        </w:rPr>
        <w:t>dall’esercizio</w:t>
      </w:r>
      <w:r>
        <w:rPr>
          <w:spacing w:val="-22"/>
          <w:w w:val="105"/>
          <w:u w:val="single"/>
        </w:rPr>
        <w:t> </w:t>
      </w:r>
      <w:bookmarkEnd w:id="11"/>
      <w:r>
        <w:rPr>
          <w:w w:val="105"/>
          <w:u w:val="single"/>
        </w:rPr>
        <w:t>2013</w:t>
      </w:r>
    </w:p>
    <w:p>
      <w:pPr>
        <w:pStyle w:val="BodyText"/>
        <w:spacing w:before="7"/>
        <w:rPr>
          <w:b/>
          <w:sz w:val="21"/>
        </w:rPr>
      </w:pPr>
    </w:p>
    <w:p>
      <w:pPr>
        <w:pStyle w:val="ListParagraph"/>
        <w:numPr>
          <w:ilvl w:val="2"/>
          <w:numId w:val="13"/>
        </w:numPr>
        <w:tabs>
          <w:tab w:pos="1068" w:val="left" w:leader="none"/>
        </w:tabs>
        <w:spacing w:line="240" w:lineRule="auto" w:before="0" w:after="0"/>
        <w:ind w:left="1067" w:right="0" w:hanging="667"/>
        <w:jc w:val="both"/>
        <w:rPr>
          <w:b/>
          <w:i/>
          <w:sz w:val="24"/>
        </w:rPr>
      </w:pPr>
      <w:bookmarkStart w:name="_TOC_250040" w:id="12"/>
      <w:r>
        <w:rPr>
          <w:b/>
          <w:i/>
          <w:w w:val="95"/>
          <w:sz w:val="24"/>
        </w:rPr>
        <w:t>Esercizio</w:t>
      </w:r>
      <w:r>
        <w:rPr>
          <w:b/>
          <w:i/>
          <w:spacing w:val="-17"/>
          <w:w w:val="95"/>
          <w:sz w:val="24"/>
        </w:rPr>
        <w:t> </w:t>
      </w:r>
      <w:bookmarkEnd w:id="12"/>
      <w:r>
        <w:rPr>
          <w:b/>
          <w:i/>
          <w:w w:val="95"/>
          <w:sz w:val="24"/>
        </w:rPr>
        <w:t>2013</w:t>
      </w:r>
    </w:p>
    <w:p>
      <w:pPr>
        <w:pStyle w:val="BodyText"/>
        <w:spacing w:before="7"/>
        <w:rPr>
          <w:b/>
          <w:i/>
        </w:rPr>
      </w:pPr>
    </w:p>
    <w:p>
      <w:pPr>
        <w:pStyle w:val="ListParagraph"/>
        <w:numPr>
          <w:ilvl w:val="0"/>
          <w:numId w:val="14"/>
        </w:numPr>
        <w:tabs>
          <w:tab w:pos="935" w:val="left" w:leader="none"/>
        </w:tabs>
        <w:spacing w:line="491" w:lineRule="auto" w:before="0" w:after="0"/>
        <w:ind w:left="934" w:right="2195" w:hanging="534"/>
        <w:jc w:val="both"/>
        <w:rPr>
          <w:sz w:val="22"/>
        </w:rPr>
      </w:pPr>
      <w:r>
        <w:rPr>
          <w:w w:val="105"/>
          <w:sz w:val="22"/>
        </w:rPr>
        <w:t>In data 1° febbraio 2013 Biochemtex concede in affitto ad M&amp;G Finanziaria</w:t>
      </w:r>
      <w:r>
        <w:rPr>
          <w:spacing w:val="-15"/>
          <w:w w:val="105"/>
          <w:sz w:val="22"/>
        </w:rPr>
        <w:t> </w:t>
      </w:r>
      <w:r>
        <w:rPr>
          <w:w w:val="105"/>
          <w:sz w:val="22"/>
        </w:rPr>
        <w:t>un</w:t>
      </w:r>
      <w:r>
        <w:rPr>
          <w:spacing w:val="-14"/>
          <w:w w:val="105"/>
          <w:sz w:val="22"/>
        </w:rPr>
        <w:t> </w:t>
      </w:r>
      <w:r>
        <w:rPr>
          <w:w w:val="105"/>
          <w:sz w:val="22"/>
        </w:rPr>
        <w:t>ramo</w:t>
      </w:r>
      <w:r>
        <w:rPr>
          <w:spacing w:val="-13"/>
          <w:w w:val="105"/>
          <w:sz w:val="22"/>
        </w:rPr>
        <w:t> </w:t>
      </w:r>
      <w:r>
        <w:rPr>
          <w:w w:val="105"/>
          <w:sz w:val="22"/>
        </w:rPr>
        <w:t>d’azienda</w:t>
      </w:r>
      <w:r>
        <w:rPr>
          <w:spacing w:val="-13"/>
          <w:w w:val="105"/>
          <w:sz w:val="22"/>
        </w:rPr>
        <w:t> </w:t>
      </w:r>
      <w:r>
        <w:rPr>
          <w:w w:val="105"/>
          <w:sz w:val="22"/>
        </w:rPr>
        <w:t>costituito</w:t>
      </w:r>
      <w:r>
        <w:rPr>
          <w:spacing w:val="-15"/>
          <w:w w:val="105"/>
          <w:sz w:val="22"/>
        </w:rPr>
        <w:t> </w:t>
      </w:r>
      <w:r>
        <w:rPr>
          <w:w w:val="105"/>
          <w:sz w:val="22"/>
        </w:rPr>
        <w:t>dall’insieme</w:t>
      </w:r>
      <w:r>
        <w:rPr>
          <w:spacing w:val="-13"/>
          <w:w w:val="105"/>
          <w:sz w:val="22"/>
        </w:rPr>
        <w:t> </w:t>
      </w:r>
      <w:r>
        <w:rPr>
          <w:w w:val="105"/>
          <w:sz w:val="22"/>
        </w:rPr>
        <w:t>di</w:t>
      </w:r>
      <w:r>
        <w:rPr>
          <w:spacing w:val="-13"/>
          <w:w w:val="105"/>
          <w:sz w:val="22"/>
        </w:rPr>
        <w:t> </w:t>
      </w:r>
      <w:r>
        <w:rPr>
          <w:w w:val="105"/>
          <w:sz w:val="22"/>
        </w:rPr>
        <w:t>beni</w:t>
      </w:r>
      <w:r>
        <w:rPr>
          <w:spacing w:val="-13"/>
          <w:w w:val="105"/>
          <w:sz w:val="22"/>
        </w:rPr>
        <w:t> </w:t>
      </w:r>
      <w:r>
        <w:rPr>
          <w:w w:val="105"/>
          <w:sz w:val="22"/>
        </w:rPr>
        <w:t>e</w:t>
      </w:r>
      <w:r>
        <w:rPr>
          <w:spacing w:val="-12"/>
          <w:w w:val="105"/>
          <w:sz w:val="22"/>
        </w:rPr>
        <w:t> </w:t>
      </w:r>
      <w:r>
        <w:rPr>
          <w:w w:val="105"/>
          <w:sz w:val="22"/>
        </w:rPr>
        <w:t>rapporti organizzati per lo svolgimento in via funzionalmente autonoma dell’attività di progettazione, fabbricazione, installazione e manutenzione di impianti, macchinari, ed attrezzature per i settori chimico, meccanico e delle materie plastiche. Il canone annuo viene fissato</w:t>
      </w:r>
      <w:r>
        <w:rPr>
          <w:spacing w:val="-22"/>
          <w:w w:val="105"/>
          <w:sz w:val="22"/>
        </w:rPr>
        <w:t> </w:t>
      </w:r>
      <w:r>
        <w:rPr>
          <w:w w:val="105"/>
          <w:sz w:val="22"/>
        </w:rPr>
        <w:t>in</w:t>
      </w:r>
      <w:r>
        <w:rPr>
          <w:spacing w:val="-21"/>
          <w:w w:val="105"/>
          <w:sz w:val="22"/>
        </w:rPr>
        <w:t> </w:t>
      </w:r>
      <w:r>
        <w:rPr>
          <w:b/>
          <w:w w:val="105"/>
          <w:sz w:val="22"/>
        </w:rPr>
        <w:t>Euro/Mil.</w:t>
      </w:r>
      <w:r>
        <w:rPr>
          <w:b/>
          <w:spacing w:val="-20"/>
          <w:w w:val="105"/>
          <w:sz w:val="22"/>
        </w:rPr>
        <w:t> </w:t>
      </w:r>
      <w:r>
        <w:rPr>
          <w:b/>
          <w:w w:val="105"/>
          <w:sz w:val="22"/>
        </w:rPr>
        <w:t>2,4</w:t>
      </w:r>
      <w:r>
        <w:rPr>
          <w:w w:val="105"/>
          <w:sz w:val="22"/>
        </w:rPr>
        <w:t>;</w:t>
      </w:r>
    </w:p>
    <w:p>
      <w:pPr>
        <w:pStyle w:val="ListParagraph"/>
        <w:numPr>
          <w:ilvl w:val="0"/>
          <w:numId w:val="14"/>
        </w:numPr>
        <w:tabs>
          <w:tab w:pos="935" w:val="left" w:leader="none"/>
        </w:tabs>
        <w:spacing w:line="491" w:lineRule="auto" w:before="0" w:after="0"/>
        <w:ind w:left="934" w:right="2195" w:hanging="534"/>
        <w:jc w:val="both"/>
        <w:rPr>
          <w:sz w:val="22"/>
        </w:rPr>
      </w:pPr>
      <w:r>
        <w:rPr>
          <w:w w:val="105"/>
          <w:sz w:val="22"/>
        </w:rPr>
        <w:t>Viene ceduto il </w:t>
      </w:r>
      <w:r>
        <w:rPr>
          <w:i/>
          <w:w w:val="105"/>
          <w:sz w:val="22"/>
        </w:rPr>
        <w:t>know-how </w:t>
      </w:r>
      <w:r>
        <w:rPr>
          <w:w w:val="105"/>
          <w:sz w:val="22"/>
        </w:rPr>
        <w:t>e la relativa licenza PROESA relativamente alle applicazioni PET alla consociata M&amp;G USA Corporation. Per effetto di tale cessione la Società realizza una plusvalenza pari a circa </w:t>
      </w:r>
      <w:r>
        <w:rPr>
          <w:b/>
          <w:w w:val="105"/>
          <w:sz w:val="22"/>
        </w:rPr>
        <w:t>Euro/Mil. 104,6</w:t>
      </w:r>
      <w:r>
        <w:rPr>
          <w:w w:val="105"/>
          <w:sz w:val="22"/>
        </w:rPr>
        <w:t>, registrandosi, in particolare e quale conseguenza, l’iscrizione</w:t>
      </w:r>
      <w:r>
        <w:rPr>
          <w:spacing w:val="-11"/>
          <w:w w:val="105"/>
          <w:sz w:val="22"/>
        </w:rPr>
        <w:t> </w:t>
      </w:r>
      <w:r>
        <w:rPr>
          <w:w w:val="105"/>
          <w:sz w:val="22"/>
        </w:rPr>
        <w:t>di</w:t>
      </w:r>
      <w:r>
        <w:rPr>
          <w:spacing w:val="-11"/>
          <w:w w:val="105"/>
          <w:sz w:val="22"/>
        </w:rPr>
        <w:t> </w:t>
      </w:r>
      <w:r>
        <w:rPr>
          <w:w w:val="105"/>
          <w:sz w:val="22"/>
        </w:rPr>
        <w:t>un</w:t>
      </w:r>
      <w:r>
        <w:rPr>
          <w:spacing w:val="-11"/>
          <w:w w:val="105"/>
          <w:sz w:val="22"/>
        </w:rPr>
        <w:t> </w:t>
      </w:r>
      <w:r>
        <w:rPr>
          <w:w w:val="105"/>
          <w:sz w:val="22"/>
        </w:rPr>
        <w:t>credito</w:t>
      </w:r>
      <w:r>
        <w:rPr>
          <w:spacing w:val="-11"/>
          <w:w w:val="105"/>
          <w:sz w:val="22"/>
        </w:rPr>
        <w:t> </w:t>
      </w:r>
      <w:r>
        <w:rPr>
          <w:w w:val="105"/>
          <w:sz w:val="22"/>
        </w:rPr>
        <w:t>verso</w:t>
      </w:r>
      <w:r>
        <w:rPr>
          <w:spacing w:val="-12"/>
          <w:w w:val="105"/>
          <w:sz w:val="22"/>
        </w:rPr>
        <w:t> </w:t>
      </w:r>
      <w:r>
        <w:rPr>
          <w:w w:val="105"/>
          <w:sz w:val="22"/>
        </w:rPr>
        <w:t>MG</w:t>
      </w:r>
      <w:r>
        <w:rPr>
          <w:spacing w:val="-12"/>
          <w:w w:val="105"/>
          <w:sz w:val="22"/>
        </w:rPr>
        <w:t> </w:t>
      </w:r>
      <w:r>
        <w:rPr>
          <w:w w:val="105"/>
          <w:sz w:val="22"/>
        </w:rPr>
        <w:t>Finanziaria</w:t>
      </w:r>
      <w:r>
        <w:rPr>
          <w:spacing w:val="-14"/>
          <w:w w:val="105"/>
          <w:sz w:val="22"/>
        </w:rPr>
        <w:t> </w:t>
      </w:r>
      <w:r>
        <w:rPr>
          <w:w w:val="105"/>
          <w:sz w:val="22"/>
        </w:rPr>
        <w:t>correlato</w:t>
      </w:r>
      <w:r>
        <w:rPr>
          <w:spacing w:val="-13"/>
          <w:w w:val="105"/>
          <w:sz w:val="22"/>
        </w:rPr>
        <w:t> </w:t>
      </w:r>
      <w:r>
        <w:rPr>
          <w:w w:val="105"/>
          <w:sz w:val="22"/>
        </w:rPr>
        <w:t>all’operatività di cash pooling e l’estinzione, da parte di quest’ultima, di un proprio debito</w:t>
      </w:r>
      <w:r>
        <w:rPr>
          <w:spacing w:val="-21"/>
          <w:w w:val="105"/>
          <w:sz w:val="22"/>
        </w:rPr>
        <w:t> </w:t>
      </w:r>
      <w:r>
        <w:rPr>
          <w:w w:val="105"/>
          <w:sz w:val="22"/>
        </w:rPr>
        <w:t>nei</w:t>
      </w:r>
      <w:r>
        <w:rPr>
          <w:spacing w:val="-20"/>
          <w:w w:val="105"/>
          <w:sz w:val="22"/>
        </w:rPr>
        <w:t> </w:t>
      </w:r>
      <w:r>
        <w:rPr>
          <w:w w:val="105"/>
          <w:sz w:val="22"/>
        </w:rPr>
        <w:t>confronti</w:t>
      </w:r>
      <w:r>
        <w:rPr>
          <w:spacing w:val="-20"/>
          <w:w w:val="105"/>
          <w:sz w:val="22"/>
        </w:rPr>
        <w:t> </w:t>
      </w:r>
      <w:r>
        <w:rPr>
          <w:w w:val="105"/>
          <w:sz w:val="22"/>
        </w:rPr>
        <w:t>della</w:t>
      </w:r>
      <w:r>
        <w:rPr>
          <w:spacing w:val="-21"/>
          <w:w w:val="105"/>
          <w:sz w:val="22"/>
        </w:rPr>
        <w:t> </w:t>
      </w:r>
      <w:r>
        <w:rPr>
          <w:w w:val="105"/>
          <w:sz w:val="22"/>
        </w:rPr>
        <w:t>Mossi</w:t>
      </w:r>
      <w:r>
        <w:rPr>
          <w:spacing w:val="-21"/>
          <w:w w:val="105"/>
          <w:sz w:val="22"/>
        </w:rPr>
        <w:t> </w:t>
      </w:r>
      <w:r>
        <w:rPr>
          <w:w w:val="105"/>
          <w:sz w:val="22"/>
        </w:rPr>
        <w:t>&amp;</w:t>
      </w:r>
      <w:r>
        <w:rPr>
          <w:spacing w:val="-21"/>
          <w:w w:val="105"/>
          <w:sz w:val="22"/>
        </w:rPr>
        <w:t> </w:t>
      </w:r>
      <w:r>
        <w:rPr>
          <w:w w:val="105"/>
          <w:sz w:val="22"/>
        </w:rPr>
        <w:t>Ghisolfi</w:t>
      </w:r>
      <w:r>
        <w:rPr>
          <w:spacing w:val="-21"/>
          <w:w w:val="105"/>
          <w:sz w:val="22"/>
        </w:rPr>
        <w:t> </w:t>
      </w:r>
      <w:r>
        <w:rPr>
          <w:w w:val="105"/>
          <w:sz w:val="22"/>
        </w:rPr>
        <w:t>International</w:t>
      </w:r>
      <w:r>
        <w:rPr>
          <w:spacing w:val="-21"/>
          <w:w w:val="105"/>
          <w:sz w:val="22"/>
        </w:rPr>
        <w:t> </w:t>
      </w:r>
      <w:r>
        <w:rPr>
          <w:w w:val="105"/>
          <w:sz w:val="22"/>
        </w:rPr>
        <w:t>S.a.r.l.;</w:t>
      </w:r>
    </w:p>
    <w:p>
      <w:pPr>
        <w:pStyle w:val="ListParagraph"/>
        <w:numPr>
          <w:ilvl w:val="0"/>
          <w:numId w:val="14"/>
        </w:numPr>
        <w:tabs>
          <w:tab w:pos="935" w:val="left" w:leader="none"/>
        </w:tabs>
        <w:spacing w:line="484" w:lineRule="auto" w:before="0" w:after="0"/>
        <w:ind w:left="934" w:right="2195" w:hanging="534"/>
        <w:jc w:val="both"/>
        <w:rPr>
          <w:sz w:val="22"/>
        </w:rPr>
      </w:pPr>
      <w:r>
        <w:rPr>
          <w:w w:val="105"/>
          <w:sz w:val="22"/>
        </w:rPr>
        <w:t>Nel giugno 2013 la Società acquista un complesso immobiliare costituito  da  un  terreno  e  relativo  fabbricato  sito  nel  comune</w:t>
      </w:r>
      <w:r>
        <w:rPr>
          <w:spacing w:val="-11"/>
          <w:w w:val="105"/>
          <w:sz w:val="22"/>
        </w:rPr>
        <w:t> </w:t>
      </w:r>
      <w:r>
        <w:rPr>
          <w:w w:val="105"/>
          <w:sz w:val="22"/>
        </w:rPr>
        <w:t>di</w:t>
      </w:r>
    </w:p>
    <w:p>
      <w:pPr>
        <w:spacing w:after="0" w:line="484" w:lineRule="auto"/>
        <w:jc w:val="both"/>
        <w:rPr>
          <w:sz w:val="22"/>
        </w:rPr>
        <w:sectPr>
          <w:pgSz w:w="12240" w:h="15840"/>
          <w:pgMar w:header="0" w:footer="790" w:top="1500" w:bottom="980" w:left="1720" w:right="1200"/>
        </w:sectPr>
      </w:pPr>
    </w:p>
    <w:p>
      <w:pPr>
        <w:pStyle w:val="BodyText"/>
        <w:spacing w:line="491" w:lineRule="auto" w:before="105"/>
        <w:ind w:left="934" w:right="2196"/>
        <w:jc w:val="both"/>
      </w:pPr>
      <w:r>
        <w:rPr>
          <w:w w:val="105"/>
        </w:rPr>
        <w:t>Modugno. Tale investimento rientra nel programma di sviluppo del progetto denominato “Moghi”, avente quale obiettivo </w:t>
      </w:r>
      <w:r>
        <w:rPr>
          <w:i/>
          <w:w w:val="105"/>
        </w:rPr>
        <w:t>(i) </w:t>
      </w:r>
      <w:r>
        <w:rPr>
          <w:w w:val="105"/>
        </w:rPr>
        <w:t>l’attività di ricerca e sviluppo volta all’ottimizzazione della tecnologia di conversione della lignina in BTX e </w:t>
      </w:r>
      <w:r>
        <w:rPr>
          <w:i/>
          <w:w w:val="105"/>
        </w:rPr>
        <w:t>(ii) </w:t>
      </w:r>
      <w:r>
        <w:rPr>
          <w:w w:val="105"/>
        </w:rPr>
        <w:t>la realizzazione di un impianto dimostrativo</w:t>
      </w:r>
      <w:r>
        <w:rPr>
          <w:spacing w:val="-12"/>
          <w:w w:val="105"/>
        </w:rPr>
        <w:t> </w:t>
      </w:r>
      <w:r>
        <w:rPr>
          <w:w w:val="105"/>
        </w:rPr>
        <w:t>per</w:t>
      </w:r>
      <w:r>
        <w:rPr>
          <w:spacing w:val="-11"/>
          <w:w w:val="105"/>
        </w:rPr>
        <w:t> </w:t>
      </w:r>
      <w:r>
        <w:rPr>
          <w:w w:val="105"/>
        </w:rPr>
        <w:t>la</w:t>
      </w:r>
      <w:r>
        <w:rPr>
          <w:spacing w:val="-13"/>
          <w:w w:val="105"/>
        </w:rPr>
        <w:t> </w:t>
      </w:r>
      <w:r>
        <w:rPr>
          <w:w w:val="105"/>
        </w:rPr>
        <w:t>produzione</w:t>
      </w:r>
      <w:r>
        <w:rPr>
          <w:spacing w:val="-12"/>
          <w:w w:val="105"/>
        </w:rPr>
        <w:t> </w:t>
      </w:r>
      <w:r>
        <w:rPr>
          <w:w w:val="105"/>
        </w:rPr>
        <w:t>di</w:t>
      </w:r>
      <w:r>
        <w:rPr>
          <w:spacing w:val="-11"/>
          <w:w w:val="105"/>
        </w:rPr>
        <w:t> </w:t>
      </w:r>
      <w:r>
        <w:rPr>
          <w:w w:val="105"/>
        </w:rPr>
        <w:t>BTX</w:t>
      </w:r>
      <w:r>
        <w:rPr>
          <w:spacing w:val="-13"/>
          <w:w w:val="105"/>
        </w:rPr>
        <w:t> </w:t>
      </w:r>
      <w:r>
        <w:rPr>
          <w:w w:val="105"/>
        </w:rPr>
        <w:t>a</w:t>
      </w:r>
      <w:r>
        <w:rPr>
          <w:spacing w:val="-12"/>
          <w:w w:val="105"/>
        </w:rPr>
        <w:t> </w:t>
      </w:r>
      <w:r>
        <w:rPr>
          <w:w w:val="105"/>
        </w:rPr>
        <w:t>partire</w:t>
      </w:r>
      <w:r>
        <w:rPr>
          <w:spacing w:val="-11"/>
          <w:w w:val="105"/>
        </w:rPr>
        <w:t> </w:t>
      </w:r>
      <w:r>
        <w:rPr>
          <w:w w:val="105"/>
        </w:rPr>
        <w:t>da</w:t>
      </w:r>
      <w:r>
        <w:rPr>
          <w:spacing w:val="-12"/>
          <w:w w:val="105"/>
        </w:rPr>
        <w:t> </w:t>
      </w:r>
      <w:r>
        <w:rPr>
          <w:w w:val="105"/>
        </w:rPr>
        <w:t>lignina.</w:t>
      </w:r>
      <w:r>
        <w:rPr>
          <w:spacing w:val="-12"/>
          <w:w w:val="105"/>
        </w:rPr>
        <w:t> </w:t>
      </w:r>
      <w:r>
        <w:rPr>
          <w:w w:val="105"/>
        </w:rPr>
        <w:t>A</w:t>
      </w:r>
      <w:r>
        <w:rPr>
          <w:spacing w:val="-12"/>
          <w:w w:val="105"/>
        </w:rPr>
        <w:t> </w:t>
      </w:r>
      <w:r>
        <w:rPr>
          <w:w w:val="105"/>
        </w:rPr>
        <w:t>fronte</w:t>
      </w:r>
      <w:r>
        <w:rPr>
          <w:spacing w:val="-12"/>
          <w:w w:val="105"/>
        </w:rPr>
        <w:t> </w:t>
      </w:r>
      <w:r>
        <w:rPr>
          <w:w w:val="105"/>
        </w:rPr>
        <w:t>di tale</w:t>
      </w:r>
      <w:r>
        <w:rPr>
          <w:spacing w:val="-12"/>
          <w:w w:val="105"/>
        </w:rPr>
        <w:t> </w:t>
      </w:r>
      <w:r>
        <w:rPr>
          <w:w w:val="105"/>
        </w:rPr>
        <w:t>acquisto</w:t>
      </w:r>
      <w:r>
        <w:rPr>
          <w:spacing w:val="-10"/>
          <w:w w:val="105"/>
        </w:rPr>
        <w:t> </w:t>
      </w:r>
      <w:r>
        <w:rPr>
          <w:w w:val="105"/>
        </w:rPr>
        <w:t>vengono</w:t>
      </w:r>
      <w:r>
        <w:rPr>
          <w:spacing w:val="-12"/>
          <w:w w:val="105"/>
        </w:rPr>
        <w:t> </w:t>
      </w:r>
      <w:r>
        <w:rPr>
          <w:w w:val="105"/>
        </w:rPr>
        <w:t>iscritti</w:t>
      </w:r>
      <w:r>
        <w:rPr>
          <w:spacing w:val="-13"/>
          <w:w w:val="105"/>
        </w:rPr>
        <w:t> </w:t>
      </w:r>
      <w:r>
        <w:rPr>
          <w:w w:val="105"/>
        </w:rPr>
        <w:t>a</w:t>
      </w:r>
      <w:r>
        <w:rPr>
          <w:spacing w:val="-11"/>
          <w:w w:val="105"/>
        </w:rPr>
        <w:t> </w:t>
      </w:r>
      <w:r>
        <w:rPr>
          <w:w w:val="105"/>
        </w:rPr>
        <w:t>bilancio</w:t>
      </w:r>
      <w:r>
        <w:rPr>
          <w:spacing w:val="-10"/>
          <w:w w:val="105"/>
        </w:rPr>
        <w:t> </w:t>
      </w:r>
      <w:r>
        <w:rPr>
          <w:w w:val="105"/>
        </w:rPr>
        <w:t>debiti</w:t>
      </w:r>
      <w:r>
        <w:rPr>
          <w:spacing w:val="-11"/>
          <w:w w:val="105"/>
        </w:rPr>
        <w:t> </w:t>
      </w:r>
      <w:r>
        <w:rPr>
          <w:w w:val="105"/>
        </w:rPr>
        <w:t>bancari</w:t>
      </w:r>
      <w:r>
        <w:rPr>
          <w:spacing w:val="-12"/>
          <w:w w:val="105"/>
        </w:rPr>
        <w:t> </w:t>
      </w:r>
      <w:r>
        <w:rPr>
          <w:w w:val="105"/>
        </w:rPr>
        <w:t>per</w:t>
      </w:r>
      <w:r>
        <w:rPr>
          <w:spacing w:val="-12"/>
          <w:w w:val="105"/>
        </w:rPr>
        <w:t> </w:t>
      </w:r>
      <w:r>
        <w:rPr>
          <w:b/>
          <w:w w:val="105"/>
        </w:rPr>
        <w:t>Euro/k</w:t>
      </w:r>
      <w:r>
        <w:rPr>
          <w:b/>
          <w:spacing w:val="-4"/>
          <w:w w:val="105"/>
        </w:rPr>
        <w:t> </w:t>
      </w:r>
      <w:r>
        <w:rPr>
          <w:b/>
          <w:w w:val="105"/>
        </w:rPr>
        <w:t>690 </w:t>
      </w:r>
      <w:r>
        <w:rPr>
          <w:w w:val="105"/>
        </w:rPr>
        <w:t>circa;</w:t>
      </w:r>
    </w:p>
    <w:p>
      <w:pPr>
        <w:pStyle w:val="ListParagraph"/>
        <w:numPr>
          <w:ilvl w:val="0"/>
          <w:numId w:val="14"/>
        </w:numPr>
        <w:tabs>
          <w:tab w:pos="935" w:val="left" w:leader="none"/>
        </w:tabs>
        <w:spacing w:line="491" w:lineRule="auto" w:before="0" w:after="0"/>
        <w:ind w:left="934" w:right="2195" w:hanging="534"/>
        <w:jc w:val="both"/>
        <w:rPr>
          <w:sz w:val="22"/>
        </w:rPr>
      </w:pPr>
      <w:r>
        <w:rPr>
          <w:w w:val="105"/>
          <w:sz w:val="22"/>
        </w:rPr>
        <w:t>Viene</w:t>
      </w:r>
      <w:r>
        <w:rPr>
          <w:spacing w:val="-17"/>
          <w:w w:val="105"/>
          <w:sz w:val="22"/>
        </w:rPr>
        <w:t> </w:t>
      </w:r>
      <w:r>
        <w:rPr>
          <w:w w:val="105"/>
          <w:sz w:val="22"/>
        </w:rPr>
        <w:t>concluso</w:t>
      </w:r>
      <w:r>
        <w:rPr>
          <w:spacing w:val="-18"/>
          <w:w w:val="105"/>
          <w:sz w:val="22"/>
        </w:rPr>
        <w:t> </w:t>
      </w:r>
      <w:r>
        <w:rPr>
          <w:w w:val="105"/>
          <w:sz w:val="22"/>
        </w:rPr>
        <w:t>il</w:t>
      </w:r>
      <w:r>
        <w:rPr>
          <w:spacing w:val="-17"/>
          <w:w w:val="105"/>
          <w:sz w:val="22"/>
        </w:rPr>
        <w:t> </w:t>
      </w:r>
      <w:r>
        <w:rPr>
          <w:w w:val="105"/>
          <w:sz w:val="22"/>
        </w:rPr>
        <w:t>progetto</w:t>
      </w:r>
      <w:r>
        <w:rPr>
          <w:spacing w:val="-17"/>
          <w:w w:val="105"/>
          <w:sz w:val="22"/>
        </w:rPr>
        <w:t> </w:t>
      </w:r>
      <w:r>
        <w:rPr>
          <w:w w:val="105"/>
          <w:sz w:val="22"/>
        </w:rPr>
        <w:t>Profer</w:t>
      </w:r>
      <w:r>
        <w:rPr>
          <w:spacing w:val="-17"/>
          <w:w w:val="105"/>
          <w:sz w:val="22"/>
        </w:rPr>
        <w:t> </w:t>
      </w:r>
      <w:r>
        <w:rPr>
          <w:w w:val="105"/>
          <w:sz w:val="22"/>
        </w:rPr>
        <w:t>avente</w:t>
      </w:r>
      <w:r>
        <w:rPr>
          <w:spacing w:val="-17"/>
          <w:w w:val="105"/>
          <w:sz w:val="22"/>
        </w:rPr>
        <w:t> </w:t>
      </w:r>
      <w:r>
        <w:rPr>
          <w:w w:val="105"/>
          <w:sz w:val="22"/>
        </w:rPr>
        <w:t>ad</w:t>
      </w:r>
      <w:r>
        <w:rPr>
          <w:spacing w:val="-17"/>
          <w:w w:val="105"/>
          <w:sz w:val="22"/>
        </w:rPr>
        <w:t> </w:t>
      </w:r>
      <w:r>
        <w:rPr>
          <w:w w:val="105"/>
          <w:sz w:val="22"/>
        </w:rPr>
        <w:t>oggetto</w:t>
      </w:r>
      <w:r>
        <w:rPr>
          <w:spacing w:val="-17"/>
          <w:w w:val="105"/>
          <w:sz w:val="22"/>
        </w:rPr>
        <w:t> </w:t>
      </w:r>
      <w:r>
        <w:rPr>
          <w:w w:val="105"/>
          <w:sz w:val="22"/>
        </w:rPr>
        <w:t>l’individuazione</w:t>
      </w:r>
      <w:r>
        <w:rPr>
          <w:spacing w:val="-17"/>
          <w:w w:val="105"/>
          <w:sz w:val="22"/>
        </w:rPr>
        <w:t> </w:t>
      </w:r>
      <w:r>
        <w:rPr>
          <w:w w:val="105"/>
          <w:sz w:val="22"/>
        </w:rPr>
        <w:t>di un microrganismo ottimale di processo per lo step di fermentazione nella tecnologia di produzione del bioetanolo da fonti lignocellulosiche;</w:t>
      </w:r>
      <w:r>
        <w:rPr>
          <w:spacing w:val="-6"/>
          <w:w w:val="105"/>
          <w:sz w:val="22"/>
        </w:rPr>
        <w:t> </w:t>
      </w:r>
      <w:r>
        <w:rPr>
          <w:w w:val="105"/>
          <w:sz w:val="22"/>
        </w:rPr>
        <w:t>per</w:t>
      </w:r>
      <w:r>
        <w:rPr>
          <w:spacing w:val="-6"/>
          <w:w w:val="105"/>
          <w:sz w:val="22"/>
        </w:rPr>
        <w:t> </w:t>
      </w:r>
      <w:r>
        <w:rPr>
          <w:w w:val="105"/>
          <w:sz w:val="22"/>
        </w:rPr>
        <w:t>tale</w:t>
      </w:r>
      <w:r>
        <w:rPr>
          <w:spacing w:val="-6"/>
          <w:w w:val="105"/>
          <w:sz w:val="22"/>
        </w:rPr>
        <w:t> </w:t>
      </w:r>
      <w:r>
        <w:rPr>
          <w:w w:val="105"/>
          <w:sz w:val="22"/>
        </w:rPr>
        <w:t>progetto</w:t>
      </w:r>
      <w:r>
        <w:rPr>
          <w:spacing w:val="-4"/>
          <w:w w:val="105"/>
          <w:sz w:val="22"/>
        </w:rPr>
        <w:t> </w:t>
      </w:r>
      <w:r>
        <w:rPr>
          <w:w w:val="105"/>
          <w:sz w:val="22"/>
        </w:rPr>
        <w:t>nel</w:t>
      </w:r>
      <w:r>
        <w:rPr>
          <w:spacing w:val="-5"/>
          <w:w w:val="105"/>
          <w:sz w:val="22"/>
        </w:rPr>
        <w:t> </w:t>
      </w:r>
      <w:r>
        <w:rPr>
          <w:w w:val="105"/>
          <w:sz w:val="22"/>
        </w:rPr>
        <w:t>corso</w:t>
      </w:r>
      <w:r>
        <w:rPr>
          <w:spacing w:val="-6"/>
          <w:w w:val="105"/>
          <w:sz w:val="22"/>
        </w:rPr>
        <w:t> </w:t>
      </w:r>
      <w:r>
        <w:rPr>
          <w:w w:val="105"/>
          <w:sz w:val="22"/>
        </w:rPr>
        <w:t>del</w:t>
      </w:r>
      <w:r>
        <w:rPr>
          <w:spacing w:val="-6"/>
          <w:w w:val="105"/>
          <w:sz w:val="22"/>
        </w:rPr>
        <w:t> </w:t>
      </w:r>
      <w:r>
        <w:rPr>
          <w:w w:val="105"/>
          <w:sz w:val="22"/>
        </w:rPr>
        <w:t>2011</w:t>
      </w:r>
      <w:r>
        <w:rPr>
          <w:spacing w:val="-6"/>
          <w:w w:val="105"/>
          <w:sz w:val="22"/>
        </w:rPr>
        <w:t> </w:t>
      </w:r>
      <w:r>
        <w:rPr>
          <w:w w:val="105"/>
          <w:sz w:val="22"/>
        </w:rPr>
        <w:t>la</w:t>
      </w:r>
      <w:r>
        <w:rPr>
          <w:spacing w:val="-6"/>
          <w:w w:val="105"/>
          <w:sz w:val="22"/>
        </w:rPr>
        <w:t> </w:t>
      </w:r>
      <w:r>
        <w:rPr>
          <w:w w:val="105"/>
          <w:sz w:val="22"/>
        </w:rPr>
        <w:t>Società</w:t>
      </w:r>
      <w:r>
        <w:rPr>
          <w:spacing w:val="-6"/>
          <w:w w:val="105"/>
          <w:sz w:val="22"/>
        </w:rPr>
        <w:t> </w:t>
      </w:r>
      <w:r>
        <w:rPr>
          <w:w w:val="105"/>
          <w:sz w:val="22"/>
        </w:rPr>
        <w:t>aveva incassato</w:t>
      </w:r>
      <w:r>
        <w:rPr>
          <w:spacing w:val="-21"/>
          <w:w w:val="105"/>
          <w:sz w:val="22"/>
        </w:rPr>
        <w:t> </w:t>
      </w:r>
      <w:r>
        <w:rPr>
          <w:w w:val="105"/>
          <w:sz w:val="22"/>
        </w:rPr>
        <w:t>contributi</w:t>
      </w:r>
      <w:r>
        <w:rPr>
          <w:spacing w:val="-20"/>
          <w:w w:val="105"/>
          <w:sz w:val="22"/>
        </w:rPr>
        <w:t> </w:t>
      </w:r>
      <w:r>
        <w:rPr>
          <w:b/>
          <w:w w:val="105"/>
          <w:sz w:val="22"/>
        </w:rPr>
        <w:t>Euro/k</w:t>
      </w:r>
      <w:r>
        <w:rPr>
          <w:b/>
          <w:spacing w:val="-21"/>
          <w:w w:val="105"/>
          <w:sz w:val="22"/>
        </w:rPr>
        <w:t> </w:t>
      </w:r>
      <w:r>
        <w:rPr>
          <w:b/>
          <w:w w:val="105"/>
          <w:sz w:val="22"/>
        </w:rPr>
        <w:t>900</w:t>
      </w:r>
      <w:r>
        <w:rPr>
          <w:b/>
          <w:spacing w:val="-21"/>
          <w:w w:val="105"/>
          <w:sz w:val="22"/>
        </w:rPr>
        <w:t> </w:t>
      </w:r>
      <w:r>
        <w:rPr>
          <w:w w:val="105"/>
          <w:sz w:val="22"/>
        </w:rPr>
        <w:t>da</w:t>
      </w:r>
      <w:r>
        <w:rPr>
          <w:spacing w:val="-21"/>
          <w:w w:val="105"/>
          <w:sz w:val="22"/>
        </w:rPr>
        <w:t> </w:t>
      </w:r>
      <w:r>
        <w:rPr>
          <w:w w:val="105"/>
          <w:sz w:val="22"/>
        </w:rPr>
        <w:t>parte</w:t>
      </w:r>
      <w:r>
        <w:rPr>
          <w:spacing w:val="-21"/>
          <w:w w:val="105"/>
          <w:sz w:val="22"/>
        </w:rPr>
        <w:t> </w:t>
      </w:r>
      <w:r>
        <w:rPr>
          <w:w w:val="105"/>
          <w:sz w:val="22"/>
        </w:rPr>
        <w:t>della</w:t>
      </w:r>
      <w:r>
        <w:rPr>
          <w:spacing w:val="-21"/>
          <w:w w:val="105"/>
          <w:sz w:val="22"/>
        </w:rPr>
        <w:t> </w:t>
      </w:r>
      <w:r>
        <w:rPr>
          <w:w w:val="105"/>
          <w:sz w:val="22"/>
        </w:rPr>
        <w:t>Regione</w:t>
      </w:r>
      <w:r>
        <w:rPr>
          <w:spacing w:val="-21"/>
          <w:w w:val="105"/>
          <w:sz w:val="22"/>
        </w:rPr>
        <w:t> </w:t>
      </w:r>
      <w:r>
        <w:rPr>
          <w:w w:val="105"/>
          <w:sz w:val="22"/>
        </w:rPr>
        <w:t>Piemonte;</w:t>
      </w:r>
    </w:p>
    <w:p>
      <w:pPr>
        <w:pStyle w:val="ListParagraph"/>
        <w:numPr>
          <w:ilvl w:val="0"/>
          <w:numId w:val="14"/>
        </w:numPr>
        <w:tabs>
          <w:tab w:pos="935" w:val="left" w:leader="none"/>
        </w:tabs>
        <w:spacing w:line="489" w:lineRule="auto" w:before="0" w:after="0"/>
        <w:ind w:left="934" w:right="2196" w:hanging="534"/>
        <w:jc w:val="both"/>
        <w:rPr>
          <w:sz w:val="22"/>
        </w:rPr>
      </w:pPr>
      <w:r>
        <w:rPr>
          <w:w w:val="105"/>
          <w:sz w:val="22"/>
        </w:rPr>
        <w:t>Nel corso dell’esercizio viene corrisposto a Novozymes l’ammontare di </w:t>
      </w:r>
      <w:r>
        <w:rPr>
          <w:b/>
          <w:w w:val="105"/>
          <w:sz w:val="22"/>
        </w:rPr>
        <w:t>Euro/Mil. 3,9 </w:t>
      </w:r>
      <w:r>
        <w:rPr>
          <w:w w:val="105"/>
          <w:sz w:val="22"/>
        </w:rPr>
        <w:t>a titolo di penali sulla commessa “Best Impianto bioetanolo” a seguito di ritardi nel raggiungimento dei livelli di </w:t>
      </w:r>
      <w:r>
        <w:rPr>
          <w:sz w:val="22"/>
        </w:rPr>
        <w:t>produttività</w:t>
      </w:r>
      <w:r>
        <w:rPr>
          <w:spacing w:val="37"/>
          <w:sz w:val="22"/>
        </w:rPr>
        <w:t> </w:t>
      </w:r>
      <w:r>
        <w:rPr>
          <w:sz w:val="22"/>
        </w:rPr>
        <w:t>attesi;</w:t>
      </w:r>
    </w:p>
    <w:p>
      <w:pPr>
        <w:pStyle w:val="ListParagraph"/>
        <w:numPr>
          <w:ilvl w:val="0"/>
          <w:numId w:val="14"/>
        </w:numPr>
        <w:tabs>
          <w:tab w:pos="935" w:val="left" w:leader="none"/>
        </w:tabs>
        <w:spacing w:line="484" w:lineRule="auto" w:before="2" w:after="0"/>
        <w:ind w:left="934" w:right="2197" w:hanging="534"/>
        <w:jc w:val="both"/>
        <w:rPr>
          <w:sz w:val="22"/>
        </w:rPr>
      </w:pPr>
      <w:r>
        <w:rPr>
          <w:w w:val="105"/>
          <w:sz w:val="22"/>
        </w:rPr>
        <w:t>In data 30 agosto 2013 la Società muta la propria denominazione sociale</w:t>
      </w:r>
      <w:r>
        <w:rPr>
          <w:spacing w:val="-21"/>
          <w:w w:val="105"/>
          <w:sz w:val="22"/>
        </w:rPr>
        <w:t> </w:t>
      </w:r>
      <w:r>
        <w:rPr>
          <w:w w:val="105"/>
          <w:sz w:val="22"/>
        </w:rPr>
        <w:t>da</w:t>
      </w:r>
      <w:r>
        <w:rPr>
          <w:spacing w:val="-21"/>
          <w:w w:val="105"/>
          <w:sz w:val="22"/>
        </w:rPr>
        <w:t> </w:t>
      </w:r>
      <w:r>
        <w:rPr>
          <w:w w:val="105"/>
          <w:sz w:val="22"/>
        </w:rPr>
        <w:t>Chemtex</w:t>
      </w:r>
      <w:r>
        <w:rPr>
          <w:spacing w:val="-21"/>
          <w:w w:val="105"/>
          <w:sz w:val="22"/>
        </w:rPr>
        <w:t> </w:t>
      </w:r>
      <w:r>
        <w:rPr>
          <w:w w:val="105"/>
          <w:sz w:val="22"/>
        </w:rPr>
        <w:t>Italia</w:t>
      </w:r>
      <w:r>
        <w:rPr>
          <w:spacing w:val="-21"/>
          <w:w w:val="105"/>
          <w:sz w:val="22"/>
        </w:rPr>
        <w:t> </w:t>
      </w:r>
      <w:r>
        <w:rPr>
          <w:w w:val="105"/>
          <w:sz w:val="22"/>
        </w:rPr>
        <w:t>a</w:t>
      </w:r>
      <w:r>
        <w:rPr>
          <w:spacing w:val="-21"/>
          <w:w w:val="105"/>
          <w:sz w:val="22"/>
        </w:rPr>
        <w:t> </w:t>
      </w:r>
      <w:r>
        <w:rPr>
          <w:w w:val="105"/>
          <w:sz w:val="22"/>
        </w:rPr>
        <w:t>Biochemtex;</w:t>
      </w:r>
    </w:p>
    <w:p>
      <w:pPr>
        <w:pStyle w:val="ListParagraph"/>
        <w:numPr>
          <w:ilvl w:val="0"/>
          <w:numId w:val="14"/>
        </w:numPr>
        <w:tabs>
          <w:tab w:pos="935" w:val="left" w:leader="none"/>
        </w:tabs>
        <w:spacing w:line="491" w:lineRule="auto" w:before="7" w:after="0"/>
        <w:ind w:left="934" w:right="2194" w:hanging="534"/>
        <w:jc w:val="both"/>
        <w:rPr>
          <w:sz w:val="22"/>
        </w:rPr>
      </w:pPr>
      <w:r>
        <w:rPr>
          <w:w w:val="105"/>
          <w:sz w:val="22"/>
        </w:rPr>
        <w:t>Nel dicembre 2013 la Società stipula un contratto con la Banca Europea per gli Investimenti (BEI) a supporto di investimenti per la ricerca e sviluppo per gli anni 2013-2016 con l’obiettivo di massimizzare l’uso della biomassa a fini energetici e il successivo trattamento chimico e sviluppare biocarburanti e prodotti chimici di seconda</w:t>
      </w:r>
      <w:r>
        <w:rPr>
          <w:spacing w:val="-10"/>
          <w:w w:val="105"/>
          <w:sz w:val="22"/>
        </w:rPr>
        <w:t> </w:t>
      </w:r>
      <w:r>
        <w:rPr>
          <w:w w:val="105"/>
          <w:sz w:val="22"/>
        </w:rPr>
        <w:t>generazione.</w:t>
      </w:r>
      <w:r>
        <w:rPr>
          <w:spacing w:val="-9"/>
          <w:w w:val="105"/>
          <w:sz w:val="22"/>
        </w:rPr>
        <w:t> </w:t>
      </w:r>
      <w:r>
        <w:rPr>
          <w:w w:val="105"/>
          <w:sz w:val="22"/>
        </w:rPr>
        <w:t>Il</w:t>
      </w:r>
      <w:r>
        <w:rPr>
          <w:spacing w:val="-11"/>
          <w:w w:val="105"/>
          <w:sz w:val="22"/>
        </w:rPr>
        <w:t> </w:t>
      </w:r>
      <w:r>
        <w:rPr>
          <w:w w:val="105"/>
          <w:sz w:val="22"/>
        </w:rPr>
        <w:t>fabbisogno</w:t>
      </w:r>
      <w:r>
        <w:rPr>
          <w:spacing w:val="-10"/>
          <w:w w:val="105"/>
          <w:sz w:val="22"/>
        </w:rPr>
        <w:t> </w:t>
      </w:r>
      <w:r>
        <w:rPr>
          <w:w w:val="105"/>
          <w:sz w:val="22"/>
        </w:rPr>
        <w:t>complessivo</w:t>
      </w:r>
      <w:r>
        <w:rPr>
          <w:spacing w:val="-12"/>
          <w:w w:val="105"/>
          <w:sz w:val="22"/>
        </w:rPr>
        <w:t> </w:t>
      </w:r>
      <w:r>
        <w:rPr>
          <w:w w:val="105"/>
          <w:sz w:val="22"/>
        </w:rPr>
        <w:t>del</w:t>
      </w:r>
      <w:r>
        <w:rPr>
          <w:spacing w:val="-11"/>
          <w:w w:val="105"/>
          <w:sz w:val="22"/>
        </w:rPr>
        <w:t> </w:t>
      </w:r>
      <w:r>
        <w:rPr>
          <w:w w:val="105"/>
          <w:sz w:val="22"/>
        </w:rPr>
        <w:t>progetto</w:t>
      </w:r>
      <w:r>
        <w:rPr>
          <w:spacing w:val="-10"/>
          <w:w w:val="105"/>
          <w:sz w:val="22"/>
        </w:rPr>
        <w:t> </w:t>
      </w:r>
      <w:r>
        <w:rPr>
          <w:w w:val="105"/>
          <w:sz w:val="22"/>
        </w:rPr>
        <w:t>valutato</w:t>
      </w:r>
    </w:p>
    <w:p>
      <w:pPr>
        <w:spacing w:after="0" w:line="491" w:lineRule="auto"/>
        <w:jc w:val="both"/>
        <w:rPr>
          <w:sz w:val="22"/>
        </w:rPr>
        <w:sectPr>
          <w:pgSz w:w="12240" w:h="15840"/>
          <w:pgMar w:header="0" w:footer="790" w:top="1500" w:bottom="980" w:left="1720" w:right="1200"/>
        </w:sectPr>
      </w:pPr>
    </w:p>
    <w:p>
      <w:pPr>
        <w:pStyle w:val="BodyText"/>
        <w:spacing w:line="491" w:lineRule="auto" w:before="105"/>
        <w:ind w:left="934" w:right="2194"/>
        <w:jc w:val="both"/>
      </w:pPr>
      <w:r>
        <w:rPr>
          <w:w w:val="105"/>
        </w:rPr>
        <w:t>dalla BEI ai fini della concessione del finanziamento è pari ad </w:t>
      </w:r>
      <w:r>
        <w:rPr>
          <w:b/>
          <w:w w:val="105"/>
        </w:rPr>
        <w:t>Euro/Mil.</w:t>
      </w:r>
      <w:r>
        <w:rPr>
          <w:b/>
          <w:spacing w:val="-5"/>
          <w:w w:val="105"/>
        </w:rPr>
        <w:t> </w:t>
      </w:r>
      <w:r>
        <w:rPr>
          <w:b/>
          <w:w w:val="105"/>
        </w:rPr>
        <w:t>133</w:t>
      </w:r>
      <w:r>
        <w:rPr>
          <w:w w:val="105"/>
        </w:rPr>
        <w:t>,</w:t>
      </w:r>
      <w:r>
        <w:rPr>
          <w:spacing w:val="-12"/>
          <w:w w:val="105"/>
        </w:rPr>
        <w:t> </w:t>
      </w:r>
      <w:r>
        <w:rPr>
          <w:w w:val="105"/>
        </w:rPr>
        <w:t>di</w:t>
      </w:r>
      <w:r>
        <w:rPr>
          <w:spacing w:val="-12"/>
          <w:w w:val="105"/>
        </w:rPr>
        <w:t> </w:t>
      </w:r>
      <w:r>
        <w:rPr>
          <w:w w:val="105"/>
        </w:rPr>
        <w:t>cui</w:t>
      </w:r>
      <w:r>
        <w:rPr>
          <w:spacing w:val="-12"/>
          <w:w w:val="105"/>
        </w:rPr>
        <w:t> </w:t>
      </w:r>
      <w:r>
        <w:rPr>
          <w:b/>
          <w:w w:val="105"/>
        </w:rPr>
        <w:t>Euro/Mil.</w:t>
      </w:r>
      <w:r>
        <w:rPr>
          <w:b/>
          <w:spacing w:val="-7"/>
          <w:w w:val="105"/>
        </w:rPr>
        <w:t> </w:t>
      </w:r>
      <w:r>
        <w:rPr>
          <w:b/>
          <w:w w:val="105"/>
        </w:rPr>
        <w:t>65</w:t>
      </w:r>
      <w:r>
        <w:rPr>
          <w:b/>
          <w:spacing w:val="-12"/>
          <w:w w:val="105"/>
        </w:rPr>
        <w:t> </w:t>
      </w:r>
      <w:r>
        <w:rPr>
          <w:w w:val="105"/>
        </w:rPr>
        <w:t>finanziati</w:t>
      </w:r>
      <w:r>
        <w:rPr>
          <w:spacing w:val="-12"/>
          <w:w w:val="105"/>
        </w:rPr>
        <w:t> </w:t>
      </w:r>
      <w:r>
        <w:rPr>
          <w:w w:val="105"/>
        </w:rPr>
        <w:t>dalla</w:t>
      </w:r>
      <w:r>
        <w:rPr>
          <w:spacing w:val="-13"/>
          <w:w w:val="105"/>
        </w:rPr>
        <w:t> </w:t>
      </w:r>
      <w:r>
        <w:rPr>
          <w:w w:val="105"/>
        </w:rPr>
        <w:t>stessa.</w:t>
      </w:r>
      <w:r>
        <w:rPr>
          <w:spacing w:val="-12"/>
          <w:w w:val="105"/>
        </w:rPr>
        <w:t> </w:t>
      </w:r>
      <w:r>
        <w:rPr>
          <w:w w:val="105"/>
        </w:rPr>
        <w:t>La</w:t>
      </w:r>
      <w:r>
        <w:rPr>
          <w:spacing w:val="-12"/>
          <w:w w:val="105"/>
        </w:rPr>
        <w:t> </w:t>
      </w:r>
      <w:r>
        <w:rPr>
          <w:w w:val="105"/>
        </w:rPr>
        <w:t>relativa provvista</w:t>
      </w:r>
      <w:r>
        <w:rPr>
          <w:spacing w:val="-11"/>
          <w:w w:val="105"/>
        </w:rPr>
        <w:t> </w:t>
      </w:r>
      <w:r>
        <w:rPr>
          <w:w w:val="105"/>
        </w:rPr>
        <w:t>era</w:t>
      </w:r>
      <w:r>
        <w:rPr>
          <w:spacing w:val="-12"/>
          <w:w w:val="105"/>
        </w:rPr>
        <w:t> </w:t>
      </w:r>
      <w:r>
        <w:rPr>
          <w:w w:val="105"/>
        </w:rPr>
        <w:t>destinata</w:t>
      </w:r>
      <w:r>
        <w:rPr>
          <w:spacing w:val="-11"/>
          <w:w w:val="105"/>
        </w:rPr>
        <w:t> </w:t>
      </w:r>
      <w:r>
        <w:rPr>
          <w:w w:val="105"/>
        </w:rPr>
        <w:t>allo</w:t>
      </w:r>
      <w:r>
        <w:rPr>
          <w:spacing w:val="-12"/>
          <w:w w:val="105"/>
        </w:rPr>
        <w:t> </w:t>
      </w:r>
      <w:r>
        <w:rPr>
          <w:w w:val="105"/>
        </w:rPr>
        <w:t>sviluppo</w:t>
      </w:r>
      <w:r>
        <w:rPr>
          <w:spacing w:val="-12"/>
          <w:w w:val="105"/>
        </w:rPr>
        <w:t> </w:t>
      </w:r>
      <w:r>
        <w:rPr>
          <w:w w:val="105"/>
        </w:rPr>
        <w:t>di</w:t>
      </w:r>
      <w:r>
        <w:rPr>
          <w:spacing w:val="-11"/>
          <w:w w:val="105"/>
        </w:rPr>
        <w:t> </w:t>
      </w:r>
      <w:r>
        <w:rPr>
          <w:w w:val="105"/>
        </w:rPr>
        <w:t>progetti</w:t>
      </w:r>
      <w:r>
        <w:rPr>
          <w:spacing w:val="-10"/>
          <w:w w:val="105"/>
        </w:rPr>
        <w:t> </w:t>
      </w:r>
      <w:r>
        <w:rPr>
          <w:w w:val="105"/>
        </w:rPr>
        <w:t>secondo</w:t>
      </w:r>
      <w:r>
        <w:rPr>
          <w:spacing w:val="-12"/>
          <w:w w:val="105"/>
        </w:rPr>
        <w:t> </w:t>
      </w:r>
      <w:r>
        <w:rPr>
          <w:w w:val="105"/>
        </w:rPr>
        <w:t>vari</w:t>
      </w:r>
      <w:r>
        <w:rPr>
          <w:spacing w:val="-13"/>
          <w:w w:val="105"/>
        </w:rPr>
        <w:t> </w:t>
      </w:r>
      <w:r>
        <w:rPr>
          <w:w w:val="105"/>
        </w:rPr>
        <w:t>filoni,</w:t>
      </w:r>
      <w:r>
        <w:rPr>
          <w:spacing w:val="-11"/>
          <w:w w:val="105"/>
        </w:rPr>
        <w:t> </w:t>
      </w:r>
      <w:r>
        <w:rPr>
          <w:w w:val="105"/>
        </w:rPr>
        <w:t>nel cui ambito potevano essere costruiti impianti pilota o dimostrativi. In concreto,</w:t>
      </w:r>
      <w:r>
        <w:rPr>
          <w:spacing w:val="-17"/>
          <w:w w:val="105"/>
        </w:rPr>
        <w:t> </w:t>
      </w:r>
      <w:r>
        <w:rPr>
          <w:w w:val="105"/>
        </w:rPr>
        <w:t>poi</w:t>
      </w:r>
      <w:r>
        <w:rPr>
          <w:spacing w:val="-16"/>
          <w:w w:val="105"/>
        </w:rPr>
        <w:t> </w:t>
      </w:r>
      <w:r>
        <w:rPr>
          <w:w w:val="105"/>
        </w:rPr>
        <w:t>e</w:t>
      </w:r>
      <w:r>
        <w:rPr>
          <w:spacing w:val="-16"/>
          <w:w w:val="105"/>
        </w:rPr>
        <w:t> </w:t>
      </w:r>
      <w:r>
        <w:rPr>
          <w:w w:val="105"/>
        </w:rPr>
        <w:t>previa</w:t>
      </w:r>
      <w:r>
        <w:rPr>
          <w:spacing w:val="-15"/>
          <w:w w:val="105"/>
        </w:rPr>
        <w:t> </w:t>
      </w:r>
      <w:r>
        <w:rPr>
          <w:w w:val="105"/>
        </w:rPr>
        <w:t>rendicontazione</w:t>
      </w:r>
      <w:r>
        <w:rPr>
          <w:spacing w:val="-14"/>
          <w:w w:val="105"/>
        </w:rPr>
        <w:t> </w:t>
      </w:r>
      <w:r>
        <w:rPr>
          <w:w w:val="105"/>
        </w:rPr>
        <w:t>a</w:t>
      </w:r>
      <w:r>
        <w:rPr>
          <w:spacing w:val="-16"/>
          <w:w w:val="105"/>
        </w:rPr>
        <w:t> </w:t>
      </w:r>
      <w:r>
        <w:rPr>
          <w:w w:val="105"/>
        </w:rPr>
        <w:t>BEI,</w:t>
      </w:r>
      <w:r>
        <w:rPr>
          <w:spacing w:val="-16"/>
          <w:w w:val="105"/>
        </w:rPr>
        <w:t> </w:t>
      </w:r>
      <w:r>
        <w:rPr>
          <w:w w:val="105"/>
        </w:rPr>
        <w:t>sono</w:t>
      </w:r>
      <w:r>
        <w:rPr>
          <w:spacing w:val="-17"/>
          <w:w w:val="105"/>
        </w:rPr>
        <w:t> </w:t>
      </w:r>
      <w:r>
        <w:rPr>
          <w:w w:val="105"/>
        </w:rPr>
        <w:t>stati</w:t>
      </w:r>
      <w:r>
        <w:rPr>
          <w:spacing w:val="-16"/>
          <w:w w:val="105"/>
        </w:rPr>
        <w:t> </w:t>
      </w:r>
      <w:r>
        <w:rPr>
          <w:w w:val="105"/>
        </w:rPr>
        <w:t>sviluppati</w:t>
      </w:r>
      <w:r>
        <w:rPr>
          <w:spacing w:val="-14"/>
          <w:w w:val="105"/>
        </w:rPr>
        <w:t> </w:t>
      </w:r>
      <w:r>
        <w:rPr>
          <w:w w:val="105"/>
        </w:rPr>
        <w:t>altri investimenti assimilabili agli impianti pilota e sono state modificate parti dell’impianto dimostrativo di Crescentino. Le banche che ne avevano garantito la restituzione, e che hanno rimborsato BEI, sono oggi</w:t>
      </w:r>
      <w:r>
        <w:rPr>
          <w:spacing w:val="-24"/>
          <w:w w:val="105"/>
        </w:rPr>
        <w:t> </w:t>
      </w:r>
      <w:r>
        <w:rPr>
          <w:w w:val="105"/>
        </w:rPr>
        <w:t>creditrici</w:t>
      </w:r>
      <w:r>
        <w:rPr>
          <w:spacing w:val="-23"/>
          <w:w w:val="105"/>
        </w:rPr>
        <w:t> </w:t>
      </w:r>
      <w:r>
        <w:rPr>
          <w:w w:val="105"/>
        </w:rPr>
        <w:t>della</w:t>
      </w:r>
      <w:r>
        <w:rPr>
          <w:spacing w:val="-24"/>
          <w:w w:val="105"/>
        </w:rPr>
        <w:t> </w:t>
      </w:r>
      <w:r>
        <w:rPr>
          <w:w w:val="105"/>
        </w:rPr>
        <w:t>Società;</w:t>
      </w:r>
    </w:p>
    <w:p>
      <w:pPr>
        <w:pStyle w:val="ListParagraph"/>
        <w:numPr>
          <w:ilvl w:val="0"/>
          <w:numId w:val="14"/>
        </w:numPr>
        <w:tabs>
          <w:tab w:pos="935" w:val="left" w:leader="none"/>
        </w:tabs>
        <w:spacing w:line="489" w:lineRule="auto" w:before="0" w:after="0"/>
        <w:ind w:left="934" w:right="2197" w:hanging="534"/>
        <w:jc w:val="both"/>
        <w:rPr>
          <w:sz w:val="22"/>
        </w:rPr>
      </w:pPr>
      <w:r>
        <w:rPr>
          <w:w w:val="105"/>
          <w:sz w:val="22"/>
        </w:rPr>
        <w:t>Con</w:t>
      </w:r>
      <w:r>
        <w:rPr>
          <w:spacing w:val="-12"/>
          <w:w w:val="105"/>
          <w:sz w:val="22"/>
        </w:rPr>
        <w:t> </w:t>
      </w:r>
      <w:r>
        <w:rPr>
          <w:w w:val="105"/>
          <w:sz w:val="22"/>
        </w:rPr>
        <w:t>riferimento</w:t>
      </w:r>
      <w:r>
        <w:rPr>
          <w:spacing w:val="-11"/>
          <w:w w:val="105"/>
          <w:sz w:val="22"/>
        </w:rPr>
        <w:t> </w:t>
      </w:r>
      <w:r>
        <w:rPr>
          <w:w w:val="105"/>
          <w:sz w:val="22"/>
        </w:rPr>
        <w:t>al</w:t>
      </w:r>
      <w:r>
        <w:rPr>
          <w:spacing w:val="-11"/>
          <w:w w:val="105"/>
          <w:sz w:val="22"/>
        </w:rPr>
        <w:t> </w:t>
      </w:r>
      <w:r>
        <w:rPr>
          <w:w w:val="105"/>
          <w:sz w:val="22"/>
        </w:rPr>
        <w:t>bilancio</w:t>
      </w:r>
      <w:r>
        <w:rPr>
          <w:spacing w:val="-11"/>
          <w:w w:val="105"/>
          <w:sz w:val="22"/>
        </w:rPr>
        <w:t> </w:t>
      </w:r>
      <w:r>
        <w:rPr>
          <w:w w:val="105"/>
          <w:sz w:val="22"/>
        </w:rPr>
        <w:t>al</w:t>
      </w:r>
      <w:r>
        <w:rPr>
          <w:spacing w:val="-11"/>
          <w:w w:val="105"/>
          <w:sz w:val="22"/>
        </w:rPr>
        <w:t> </w:t>
      </w:r>
      <w:r>
        <w:rPr>
          <w:w w:val="105"/>
          <w:sz w:val="22"/>
        </w:rPr>
        <w:t>31</w:t>
      </w:r>
      <w:r>
        <w:rPr>
          <w:spacing w:val="-11"/>
          <w:w w:val="105"/>
          <w:sz w:val="22"/>
        </w:rPr>
        <w:t> </w:t>
      </w:r>
      <w:r>
        <w:rPr>
          <w:w w:val="105"/>
          <w:sz w:val="22"/>
        </w:rPr>
        <w:t>dicembre</w:t>
      </w:r>
      <w:r>
        <w:rPr>
          <w:spacing w:val="-11"/>
          <w:w w:val="105"/>
          <w:sz w:val="22"/>
        </w:rPr>
        <w:t> </w:t>
      </w:r>
      <w:r>
        <w:rPr>
          <w:w w:val="105"/>
          <w:sz w:val="22"/>
        </w:rPr>
        <w:t>2013,</w:t>
      </w:r>
      <w:r>
        <w:rPr>
          <w:spacing w:val="-11"/>
          <w:w w:val="105"/>
          <w:sz w:val="22"/>
        </w:rPr>
        <w:t> </w:t>
      </w:r>
      <w:r>
        <w:rPr>
          <w:w w:val="105"/>
          <w:sz w:val="22"/>
        </w:rPr>
        <w:t>la</w:t>
      </w:r>
      <w:r>
        <w:rPr>
          <w:spacing w:val="-12"/>
          <w:w w:val="105"/>
          <w:sz w:val="22"/>
        </w:rPr>
        <w:t> </w:t>
      </w:r>
      <w:r>
        <w:rPr>
          <w:w w:val="105"/>
          <w:sz w:val="22"/>
        </w:rPr>
        <w:t>società</w:t>
      </w:r>
      <w:r>
        <w:rPr>
          <w:spacing w:val="-12"/>
          <w:w w:val="105"/>
          <w:sz w:val="22"/>
        </w:rPr>
        <w:t> </w:t>
      </w:r>
      <w:r>
        <w:rPr>
          <w:w w:val="105"/>
          <w:sz w:val="22"/>
        </w:rPr>
        <w:t>di</w:t>
      </w:r>
      <w:r>
        <w:rPr>
          <w:spacing w:val="-11"/>
          <w:w w:val="105"/>
          <w:sz w:val="22"/>
        </w:rPr>
        <w:t> </w:t>
      </w:r>
      <w:r>
        <w:rPr>
          <w:w w:val="105"/>
          <w:sz w:val="22"/>
        </w:rPr>
        <w:t>revisione (E&amp;Y) nella propria relazione a titolo d’informativa segnala che il risultato d’esercizio, pari ad Euro/Mil. 44,1, è significativamente influenzato dalla plusvalenza sopra citata (Euro/Mil. 104,6) derivante dalla</w:t>
      </w:r>
      <w:r>
        <w:rPr>
          <w:spacing w:val="-21"/>
          <w:w w:val="105"/>
          <w:sz w:val="22"/>
        </w:rPr>
        <w:t> </w:t>
      </w:r>
      <w:r>
        <w:rPr>
          <w:w w:val="105"/>
          <w:sz w:val="22"/>
        </w:rPr>
        <w:t>cessione</w:t>
      </w:r>
      <w:r>
        <w:rPr>
          <w:spacing w:val="-22"/>
          <w:w w:val="105"/>
          <w:sz w:val="22"/>
        </w:rPr>
        <w:t> </w:t>
      </w:r>
      <w:r>
        <w:rPr>
          <w:w w:val="105"/>
          <w:sz w:val="22"/>
        </w:rPr>
        <w:t>a</w:t>
      </w:r>
      <w:r>
        <w:rPr>
          <w:spacing w:val="-21"/>
          <w:w w:val="105"/>
          <w:sz w:val="22"/>
        </w:rPr>
        <w:t> </w:t>
      </w:r>
      <w:r>
        <w:rPr>
          <w:w w:val="105"/>
          <w:sz w:val="22"/>
        </w:rPr>
        <w:t>M&amp;G</w:t>
      </w:r>
      <w:r>
        <w:rPr>
          <w:spacing w:val="-21"/>
          <w:w w:val="105"/>
          <w:sz w:val="22"/>
        </w:rPr>
        <w:t> </w:t>
      </w:r>
      <w:r>
        <w:rPr>
          <w:w w:val="105"/>
          <w:sz w:val="22"/>
        </w:rPr>
        <w:t>USA</w:t>
      </w:r>
      <w:r>
        <w:rPr>
          <w:spacing w:val="-21"/>
          <w:w w:val="105"/>
          <w:sz w:val="22"/>
        </w:rPr>
        <w:t> </w:t>
      </w:r>
      <w:r>
        <w:rPr>
          <w:w w:val="105"/>
          <w:sz w:val="22"/>
        </w:rPr>
        <w:t>Corporation.</w:t>
      </w:r>
    </w:p>
    <w:p>
      <w:pPr>
        <w:pStyle w:val="ListParagraph"/>
        <w:numPr>
          <w:ilvl w:val="0"/>
          <w:numId w:val="14"/>
        </w:numPr>
        <w:tabs>
          <w:tab w:pos="935" w:val="left" w:leader="none"/>
        </w:tabs>
        <w:spacing w:line="489" w:lineRule="auto" w:before="3" w:after="0"/>
        <w:ind w:left="934" w:right="2194" w:hanging="534"/>
        <w:jc w:val="both"/>
        <w:rPr>
          <w:sz w:val="22"/>
        </w:rPr>
      </w:pPr>
      <w:r>
        <w:rPr>
          <w:w w:val="105"/>
          <w:sz w:val="22"/>
        </w:rPr>
        <w:t>La Società ha deliberato compensi amministratori per complessivi Euro 2.700.000,00 di cui (i) Euro 2.600.000,00 a favore di Guido Ghisolfi</w:t>
      </w:r>
      <w:r>
        <w:rPr>
          <w:spacing w:val="-15"/>
          <w:w w:val="105"/>
          <w:sz w:val="22"/>
        </w:rPr>
        <w:t> </w:t>
      </w:r>
      <w:r>
        <w:rPr>
          <w:w w:val="105"/>
          <w:sz w:val="22"/>
        </w:rPr>
        <w:t>e</w:t>
      </w:r>
      <w:r>
        <w:rPr>
          <w:spacing w:val="-16"/>
          <w:w w:val="105"/>
          <w:sz w:val="22"/>
        </w:rPr>
        <w:t> </w:t>
      </w:r>
      <w:r>
        <w:rPr>
          <w:w w:val="105"/>
          <w:sz w:val="22"/>
        </w:rPr>
        <w:t>(ii)</w:t>
      </w:r>
      <w:r>
        <w:rPr>
          <w:spacing w:val="-16"/>
          <w:w w:val="105"/>
          <w:sz w:val="22"/>
        </w:rPr>
        <w:t> </w:t>
      </w:r>
      <w:r>
        <w:rPr>
          <w:w w:val="105"/>
          <w:sz w:val="22"/>
        </w:rPr>
        <w:t>Euro</w:t>
      </w:r>
      <w:r>
        <w:rPr>
          <w:spacing w:val="-16"/>
          <w:w w:val="105"/>
          <w:sz w:val="22"/>
        </w:rPr>
        <w:t> </w:t>
      </w:r>
      <w:r>
        <w:rPr>
          <w:w w:val="105"/>
          <w:sz w:val="22"/>
        </w:rPr>
        <w:t>100.000,00</w:t>
      </w:r>
      <w:r>
        <w:rPr>
          <w:spacing w:val="-15"/>
          <w:w w:val="105"/>
          <w:sz w:val="22"/>
        </w:rPr>
        <w:t> </w:t>
      </w:r>
      <w:r>
        <w:rPr>
          <w:w w:val="105"/>
          <w:sz w:val="22"/>
        </w:rPr>
        <w:t>a</w:t>
      </w:r>
      <w:r>
        <w:rPr>
          <w:spacing w:val="-16"/>
          <w:w w:val="105"/>
          <w:sz w:val="22"/>
        </w:rPr>
        <w:t> </w:t>
      </w:r>
      <w:r>
        <w:rPr>
          <w:w w:val="105"/>
          <w:sz w:val="22"/>
        </w:rPr>
        <w:t>favore</w:t>
      </w:r>
      <w:r>
        <w:rPr>
          <w:spacing w:val="-16"/>
          <w:w w:val="105"/>
          <w:sz w:val="22"/>
        </w:rPr>
        <w:t> </w:t>
      </w:r>
      <w:r>
        <w:rPr>
          <w:w w:val="105"/>
          <w:sz w:val="22"/>
        </w:rPr>
        <w:t>di</w:t>
      </w:r>
      <w:r>
        <w:rPr>
          <w:spacing w:val="-16"/>
          <w:w w:val="105"/>
          <w:sz w:val="22"/>
        </w:rPr>
        <w:t> </w:t>
      </w:r>
      <w:r>
        <w:rPr>
          <w:w w:val="105"/>
          <w:sz w:val="22"/>
        </w:rPr>
        <w:t>Mario</w:t>
      </w:r>
      <w:r>
        <w:rPr>
          <w:spacing w:val="-16"/>
          <w:w w:val="105"/>
          <w:sz w:val="22"/>
        </w:rPr>
        <w:t> </w:t>
      </w:r>
      <w:r>
        <w:rPr>
          <w:w w:val="105"/>
          <w:sz w:val="22"/>
        </w:rPr>
        <w:t>Murri.</w:t>
      </w:r>
    </w:p>
    <w:p>
      <w:pPr>
        <w:pStyle w:val="Heading1"/>
        <w:numPr>
          <w:ilvl w:val="2"/>
          <w:numId w:val="13"/>
        </w:numPr>
        <w:tabs>
          <w:tab w:pos="1067" w:val="left" w:leader="none"/>
          <w:tab w:pos="1068" w:val="left" w:leader="none"/>
        </w:tabs>
        <w:spacing w:line="255" w:lineRule="exact" w:before="0" w:after="0"/>
        <w:ind w:left="1067" w:right="0" w:hanging="667"/>
        <w:jc w:val="left"/>
      </w:pPr>
      <w:bookmarkStart w:name="_TOC_250039" w:id="13"/>
      <w:r>
        <w:rPr>
          <w:w w:val="95"/>
        </w:rPr>
        <w:t>Esercizio</w:t>
      </w:r>
      <w:r>
        <w:rPr>
          <w:spacing w:val="-17"/>
          <w:w w:val="95"/>
        </w:rPr>
        <w:t> </w:t>
      </w:r>
      <w:bookmarkEnd w:id="13"/>
      <w:r>
        <w:rPr>
          <w:w w:val="95"/>
        </w:rPr>
        <w:t>2014</w:t>
      </w:r>
    </w:p>
    <w:p>
      <w:pPr>
        <w:pStyle w:val="BodyText"/>
        <w:spacing w:before="7"/>
        <w:rPr>
          <w:b/>
          <w:i/>
        </w:rPr>
      </w:pPr>
    </w:p>
    <w:p>
      <w:pPr>
        <w:pStyle w:val="ListParagraph"/>
        <w:numPr>
          <w:ilvl w:val="0"/>
          <w:numId w:val="14"/>
        </w:numPr>
        <w:tabs>
          <w:tab w:pos="935" w:val="left" w:leader="none"/>
        </w:tabs>
        <w:spacing w:line="489" w:lineRule="auto" w:before="0" w:after="0"/>
        <w:ind w:left="934" w:right="2195" w:hanging="534"/>
        <w:jc w:val="both"/>
        <w:rPr>
          <w:sz w:val="22"/>
        </w:rPr>
      </w:pPr>
      <w:r>
        <w:rPr>
          <w:w w:val="105"/>
          <w:sz w:val="22"/>
        </w:rPr>
        <w:t>In data 7 novembre 2014 BEI ha erogato il finanziamento da </w:t>
      </w:r>
      <w:r>
        <w:rPr>
          <w:b/>
          <w:w w:val="105"/>
          <w:sz w:val="22"/>
        </w:rPr>
        <w:t>Euro/Mil. 65</w:t>
      </w:r>
      <w:r>
        <w:rPr>
          <w:w w:val="105"/>
          <w:sz w:val="22"/>
        </w:rPr>
        <w:t>. Il finanziamento, a tasso agevolato, ha una durata di</w:t>
      </w:r>
      <w:r>
        <w:rPr>
          <w:spacing w:val="-39"/>
          <w:w w:val="105"/>
          <w:sz w:val="22"/>
        </w:rPr>
        <w:t> </w:t>
      </w:r>
      <w:r>
        <w:rPr>
          <w:w w:val="105"/>
          <w:sz w:val="22"/>
        </w:rPr>
        <w:t>7 anni con due di pre-ammortamento, </w:t>
      </w:r>
      <w:r>
        <w:rPr>
          <w:w w:val="105"/>
          <w:sz w:val="22"/>
          <w:u w:val="single"/>
        </w:rPr>
        <w:t>prevede il rispetto di </w:t>
      </w:r>
      <w:r>
        <w:rPr>
          <w:i/>
          <w:w w:val="105"/>
          <w:sz w:val="22"/>
          <w:u w:val="single"/>
        </w:rPr>
        <w:t>covenants </w:t>
      </w:r>
      <w:r>
        <w:rPr>
          <w:w w:val="105"/>
          <w:sz w:val="22"/>
          <w:u w:val="single"/>
        </w:rPr>
        <w:t>di natura</w:t>
      </w:r>
      <w:r>
        <w:rPr>
          <w:spacing w:val="-14"/>
          <w:w w:val="105"/>
          <w:sz w:val="22"/>
          <w:u w:val="single"/>
        </w:rPr>
        <w:t> </w:t>
      </w:r>
      <w:r>
        <w:rPr>
          <w:w w:val="105"/>
          <w:sz w:val="22"/>
          <w:u w:val="single"/>
        </w:rPr>
        <w:t>quantitativa</w:t>
      </w:r>
      <w:r>
        <w:rPr>
          <w:spacing w:val="-15"/>
          <w:w w:val="105"/>
          <w:sz w:val="22"/>
          <w:u w:val="single"/>
        </w:rPr>
        <w:t> </w:t>
      </w:r>
      <w:r>
        <w:rPr>
          <w:w w:val="105"/>
          <w:sz w:val="22"/>
          <w:u w:val="single"/>
        </w:rPr>
        <w:t>e</w:t>
      </w:r>
      <w:r>
        <w:rPr>
          <w:spacing w:val="-15"/>
          <w:w w:val="105"/>
          <w:sz w:val="22"/>
          <w:u w:val="single"/>
        </w:rPr>
        <w:t> </w:t>
      </w:r>
      <w:r>
        <w:rPr>
          <w:w w:val="105"/>
          <w:sz w:val="22"/>
          <w:u w:val="single"/>
        </w:rPr>
        <w:t>qualitativa</w:t>
      </w:r>
      <w:r>
        <w:rPr>
          <w:w w:val="105"/>
          <w:sz w:val="22"/>
        </w:rPr>
        <w:t>,</w:t>
      </w:r>
      <w:r>
        <w:rPr>
          <w:spacing w:val="-15"/>
          <w:w w:val="105"/>
          <w:sz w:val="22"/>
        </w:rPr>
        <w:t> </w:t>
      </w:r>
      <w:r>
        <w:rPr>
          <w:w w:val="105"/>
          <w:sz w:val="22"/>
        </w:rPr>
        <w:t>ed</w:t>
      </w:r>
      <w:r>
        <w:rPr>
          <w:spacing w:val="-16"/>
          <w:w w:val="105"/>
          <w:sz w:val="22"/>
        </w:rPr>
        <w:t> </w:t>
      </w:r>
      <w:r>
        <w:rPr>
          <w:w w:val="105"/>
          <w:sz w:val="22"/>
        </w:rPr>
        <w:t>è</w:t>
      </w:r>
      <w:r>
        <w:rPr>
          <w:spacing w:val="-15"/>
          <w:w w:val="105"/>
          <w:sz w:val="22"/>
        </w:rPr>
        <w:t> </w:t>
      </w:r>
      <w:r>
        <w:rPr>
          <w:w w:val="105"/>
          <w:sz w:val="22"/>
        </w:rPr>
        <w:t>supportato</w:t>
      </w:r>
      <w:r>
        <w:rPr>
          <w:spacing w:val="-15"/>
          <w:w w:val="105"/>
          <w:sz w:val="22"/>
        </w:rPr>
        <w:t> </w:t>
      </w:r>
      <w:r>
        <w:rPr>
          <w:w w:val="105"/>
          <w:sz w:val="22"/>
        </w:rPr>
        <w:t>da</w:t>
      </w:r>
      <w:r>
        <w:rPr>
          <w:spacing w:val="-15"/>
          <w:w w:val="105"/>
          <w:sz w:val="22"/>
        </w:rPr>
        <w:t> </w:t>
      </w:r>
      <w:r>
        <w:rPr>
          <w:w w:val="105"/>
          <w:sz w:val="22"/>
        </w:rPr>
        <w:t>garanzie</w:t>
      </w:r>
      <w:r>
        <w:rPr>
          <w:spacing w:val="-16"/>
          <w:w w:val="105"/>
          <w:sz w:val="22"/>
        </w:rPr>
        <w:t> </w:t>
      </w:r>
      <w:r>
        <w:rPr>
          <w:w w:val="105"/>
          <w:sz w:val="22"/>
        </w:rPr>
        <w:t>emesse</w:t>
      </w:r>
      <w:r>
        <w:rPr>
          <w:spacing w:val="-15"/>
          <w:w w:val="105"/>
          <w:sz w:val="22"/>
        </w:rPr>
        <w:t> </w:t>
      </w:r>
      <w:r>
        <w:rPr>
          <w:w w:val="105"/>
          <w:sz w:val="22"/>
        </w:rPr>
        <w:t>da</w:t>
      </w:r>
    </w:p>
    <w:p>
      <w:pPr>
        <w:pStyle w:val="BodyText"/>
        <w:spacing w:line="491" w:lineRule="auto" w:before="3"/>
        <w:ind w:left="934" w:right="2194"/>
      </w:pPr>
      <w:r>
        <w:rPr>
          <w:w w:val="105"/>
        </w:rPr>
        <w:t>un</w:t>
      </w:r>
      <w:r>
        <w:rPr>
          <w:spacing w:val="-14"/>
          <w:w w:val="105"/>
        </w:rPr>
        <w:t> </w:t>
      </w:r>
      <w:r>
        <w:rPr>
          <w:i/>
          <w:w w:val="105"/>
        </w:rPr>
        <w:t>pool</w:t>
      </w:r>
      <w:r>
        <w:rPr>
          <w:i/>
          <w:spacing w:val="-14"/>
          <w:w w:val="105"/>
        </w:rPr>
        <w:t> </w:t>
      </w:r>
      <w:r>
        <w:rPr>
          <w:w w:val="105"/>
        </w:rPr>
        <w:t>di</w:t>
      </w:r>
      <w:r>
        <w:rPr>
          <w:spacing w:val="-14"/>
          <w:w w:val="105"/>
        </w:rPr>
        <w:t> </w:t>
      </w:r>
      <w:r>
        <w:rPr>
          <w:w w:val="105"/>
        </w:rPr>
        <w:t>quattro</w:t>
      </w:r>
      <w:r>
        <w:rPr>
          <w:spacing w:val="-15"/>
          <w:w w:val="105"/>
        </w:rPr>
        <w:t> </w:t>
      </w:r>
      <w:r>
        <w:rPr>
          <w:w w:val="105"/>
        </w:rPr>
        <w:t>banche;</w:t>
      </w:r>
      <w:r>
        <w:rPr>
          <w:spacing w:val="-14"/>
          <w:w w:val="105"/>
        </w:rPr>
        <w:t> </w:t>
      </w:r>
      <w:r>
        <w:rPr>
          <w:w w:val="105"/>
        </w:rPr>
        <w:t>a</w:t>
      </w:r>
      <w:r>
        <w:rPr>
          <w:spacing w:val="-14"/>
          <w:w w:val="105"/>
        </w:rPr>
        <w:t> </w:t>
      </w:r>
      <w:r>
        <w:rPr>
          <w:w w:val="105"/>
        </w:rPr>
        <w:t>sua</w:t>
      </w:r>
      <w:r>
        <w:rPr>
          <w:spacing w:val="-14"/>
          <w:w w:val="105"/>
        </w:rPr>
        <w:t> </w:t>
      </w:r>
      <w:r>
        <w:rPr>
          <w:w w:val="105"/>
        </w:rPr>
        <w:t>volta,</w:t>
      </w:r>
      <w:r>
        <w:rPr>
          <w:spacing w:val="-15"/>
          <w:w w:val="105"/>
        </w:rPr>
        <w:t> </w:t>
      </w:r>
      <w:r>
        <w:rPr>
          <w:w w:val="105"/>
        </w:rPr>
        <w:t>M&amp;G</w:t>
      </w:r>
      <w:r>
        <w:rPr>
          <w:spacing w:val="-14"/>
          <w:w w:val="105"/>
        </w:rPr>
        <w:t> </w:t>
      </w:r>
      <w:r>
        <w:rPr>
          <w:w w:val="105"/>
        </w:rPr>
        <w:t>Finanziaria</w:t>
      </w:r>
      <w:r>
        <w:rPr>
          <w:spacing w:val="-14"/>
          <w:w w:val="105"/>
        </w:rPr>
        <w:t> </w:t>
      </w:r>
      <w:r>
        <w:rPr>
          <w:w w:val="105"/>
        </w:rPr>
        <w:t>ha</w:t>
      </w:r>
      <w:r>
        <w:rPr>
          <w:spacing w:val="-14"/>
          <w:w w:val="105"/>
        </w:rPr>
        <w:t> </w:t>
      </w:r>
      <w:r>
        <w:rPr>
          <w:w w:val="105"/>
        </w:rPr>
        <w:t>sottoscritto con</w:t>
      </w:r>
      <w:r>
        <w:rPr>
          <w:spacing w:val="-10"/>
          <w:w w:val="105"/>
        </w:rPr>
        <w:t> </w:t>
      </w:r>
      <w:r>
        <w:rPr>
          <w:w w:val="105"/>
        </w:rPr>
        <w:t>il</w:t>
      </w:r>
      <w:r>
        <w:rPr>
          <w:spacing w:val="-10"/>
          <w:w w:val="105"/>
        </w:rPr>
        <w:t> </w:t>
      </w:r>
      <w:r>
        <w:rPr>
          <w:i/>
          <w:w w:val="105"/>
        </w:rPr>
        <w:t>pool</w:t>
      </w:r>
      <w:r>
        <w:rPr>
          <w:i/>
          <w:spacing w:val="-8"/>
          <w:w w:val="105"/>
        </w:rPr>
        <w:t> </w:t>
      </w:r>
      <w:r>
        <w:rPr>
          <w:w w:val="105"/>
        </w:rPr>
        <w:t>di</w:t>
      </w:r>
      <w:r>
        <w:rPr>
          <w:spacing w:val="-11"/>
          <w:w w:val="105"/>
        </w:rPr>
        <w:t> </w:t>
      </w:r>
      <w:r>
        <w:rPr>
          <w:w w:val="105"/>
        </w:rPr>
        <w:t>banche</w:t>
      </w:r>
      <w:r>
        <w:rPr>
          <w:spacing w:val="-9"/>
          <w:w w:val="105"/>
        </w:rPr>
        <w:t> </w:t>
      </w:r>
      <w:r>
        <w:rPr>
          <w:w w:val="105"/>
        </w:rPr>
        <w:t>un</w:t>
      </w:r>
      <w:r>
        <w:rPr>
          <w:spacing w:val="-10"/>
          <w:w w:val="105"/>
        </w:rPr>
        <w:t> </w:t>
      </w:r>
      <w:r>
        <w:rPr>
          <w:w w:val="105"/>
        </w:rPr>
        <w:t>contratto</w:t>
      </w:r>
      <w:r>
        <w:rPr>
          <w:spacing w:val="-11"/>
          <w:w w:val="105"/>
        </w:rPr>
        <w:t> </w:t>
      </w:r>
      <w:r>
        <w:rPr>
          <w:w w:val="105"/>
        </w:rPr>
        <w:t>di</w:t>
      </w:r>
      <w:r>
        <w:rPr>
          <w:spacing w:val="-10"/>
          <w:w w:val="105"/>
        </w:rPr>
        <w:t> </w:t>
      </w:r>
      <w:r>
        <w:rPr>
          <w:w w:val="105"/>
        </w:rPr>
        <w:t>garanzia</w:t>
      </w:r>
      <w:r>
        <w:rPr>
          <w:spacing w:val="-11"/>
          <w:w w:val="105"/>
        </w:rPr>
        <w:t> </w:t>
      </w:r>
      <w:r>
        <w:rPr>
          <w:w w:val="105"/>
        </w:rPr>
        <w:t>a</w:t>
      </w:r>
      <w:r>
        <w:rPr>
          <w:spacing w:val="-11"/>
          <w:w w:val="105"/>
        </w:rPr>
        <w:t> </w:t>
      </w:r>
      <w:r>
        <w:rPr>
          <w:w w:val="105"/>
        </w:rPr>
        <w:t>manleva.</w:t>
      </w:r>
      <w:r>
        <w:rPr>
          <w:spacing w:val="-10"/>
          <w:w w:val="105"/>
        </w:rPr>
        <w:t> </w:t>
      </w:r>
      <w:r>
        <w:rPr>
          <w:w w:val="105"/>
        </w:rPr>
        <w:t>I</w:t>
      </w:r>
      <w:r>
        <w:rPr>
          <w:spacing w:val="-11"/>
          <w:w w:val="105"/>
        </w:rPr>
        <w:t> </w:t>
      </w:r>
      <w:r>
        <w:rPr>
          <w:w w:val="105"/>
        </w:rPr>
        <w:t>flussi</w:t>
      </w:r>
      <w:r>
        <w:rPr>
          <w:spacing w:val="-10"/>
          <w:w w:val="105"/>
        </w:rPr>
        <w:t> </w:t>
      </w:r>
      <w:r>
        <w:rPr>
          <w:w w:val="105"/>
        </w:rPr>
        <w:t>relativi</w:t>
      </w:r>
    </w:p>
    <w:p>
      <w:pPr>
        <w:spacing w:after="0" w:line="491" w:lineRule="auto"/>
        <w:sectPr>
          <w:pgSz w:w="12240" w:h="15840"/>
          <w:pgMar w:header="0" w:footer="790" w:top="1500" w:bottom="980" w:left="1720" w:right="1200"/>
        </w:sectPr>
      </w:pPr>
    </w:p>
    <w:p>
      <w:pPr>
        <w:pStyle w:val="BodyText"/>
        <w:spacing w:line="491" w:lineRule="auto" w:before="105"/>
        <w:ind w:left="934" w:right="2200"/>
      </w:pPr>
      <w:r>
        <w:rPr>
          <w:w w:val="105"/>
        </w:rPr>
        <w:t>alla provvista finanziaria messa a disposizione da BEI </w:t>
      </w:r>
      <w:r>
        <w:rPr>
          <w:w w:val="105"/>
          <w:u w:val="single"/>
        </w:rPr>
        <w:t>sono confluiti sul </w:t>
      </w:r>
      <w:r>
        <w:rPr>
          <w:i/>
          <w:w w:val="105"/>
          <w:u w:val="single"/>
        </w:rPr>
        <w:t>Cash Pooling</w:t>
      </w:r>
      <w:r>
        <w:rPr>
          <w:w w:val="105"/>
        </w:rPr>
        <w:t>;</w:t>
      </w:r>
    </w:p>
    <w:p>
      <w:pPr>
        <w:pStyle w:val="ListParagraph"/>
        <w:numPr>
          <w:ilvl w:val="0"/>
          <w:numId w:val="14"/>
        </w:numPr>
        <w:tabs>
          <w:tab w:pos="935" w:val="left" w:leader="none"/>
        </w:tabs>
        <w:spacing w:line="489" w:lineRule="auto" w:before="0" w:after="0"/>
        <w:ind w:left="934" w:right="2197" w:hanging="534"/>
        <w:jc w:val="both"/>
        <w:rPr>
          <w:sz w:val="22"/>
        </w:rPr>
      </w:pPr>
      <w:r>
        <w:rPr>
          <w:w w:val="105"/>
          <w:sz w:val="22"/>
        </w:rPr>
        <w:t>Nel corso dell’esercizio gli amministratori predispongono un nuovo </w:t>
      </w:r>
      <w:r>
        <w:rPr>
          <w:i/>
          <w:w w:val="105"/>
          <w:sz w:val="22"/>
        </w:rPr>
        <w:t>business plan </w:t>
      </w:r>
      <w:r>
        <w:rPr>
          <w:w w:val="105"/>
          <w:sz w:val="22"/>
        </w:rPr>
        <w:t>2015-2018 in considerazione dello slittamento temporale rispetto</w:t>
      </w:r>
      <w:r>
        <w:rPr>
          <w:spacing w:val="-9"/>
          <w:w w:val="105"/>
          <w:sz w:val="22"/>
        </w:rPr>
        <w:t> </w:t>
      </w:r>
      <w:r>
        <w:rPr>
          <w:w w:val="105"/>
          <w:sz w:val="22"/>
        </w:rPr>
        <w:t>alle</w:t>
      </w:r>
      <w:r>
        <w:rPr>
          <w:spacing w:val="-10"/>
          <w:w w:val="105"/>
          <w:sz w:val="22"/>
        </w:rPr>
        <w:t> </w:t>
      </w:r>
      <w:r>
        <w:rPr>
          <w:w w:val="105"/>
          <w:sz w:val="22"/>
        </w:rPr>
        <w:t>previsioni</w:t>
      </w:r>
      <w:r>
        <w:rPr>
          <w:spacing w:val="-9"/>
          <w:w w:val="105"/>
          <w:sz w:val="22"/>
        </w:rPr>
        <w:t> </w:t>
      </w:r>
      <w:r>
        <w:rPr>
          <w:w w:val="105"/>
          <w:sz w:val="22"/>
        </w:rPr>
        <w:t>nella</w:t>
      </w:r>
      <w:r>
        <w:rPr>
          <w:spacing w:val="-11"/>
          <w:w w:val="105"/>
          <w:sz w:val="22"/>
        </w:rPr>
        <w:t> </w:t>
      </w:r>
      <w:r>
        <w:rPr>
          <w:w w:val="105"/>
          <w:sz w:val="22"/>
        </w:rPr>
        <w:t>messa</w:t>
      </w:r>
      <w:r>
        <w:rPr>
          <w:spacing w:val="-11"/>
          <w:w w:val="105"/>
          <w:sz w:val="22"/>
        </w:rPr>
        <w:t> </w:t>
      </w:r>
      <w:r>
        <w:rPr>
          <w:w w:val="105"/>
          <w:sz w:val="22"/>
        </w:rPr>
        <w:t>a</w:t>
      </w:r>
      <w:r>
        <w:rPr>
          <w:spacing w:val="-9"/>
          <w:w w:val="105"/>
          <w:sz w:val="22"/>
        </w:rPr>
        <w:t> </w:t>
      </w:r>
      <w:r>
        <w:rPr>
          <w:w w:val="105"/>
          <w:sz w:val="22"/>
        </w:rPr>
        <w:t>punto</w:t>
      </w:r>
      <w:r>
        <w:rPr>
          <w:spacing w:val="-10"/>
          <w:w w:val="105"/>
          <w:sz w:val="22"/>
        </w:rPr>
        <w:t> </w:t>
      </w:r>
      <w:r>
        <w:rPr>
          <w:w w:val="105"/>
          <w:sz w:val="22"/>
        </w:rPr>
        <w:t>dell’impianto</w:t>
      </w:r>
      <w:r>
        <w:rPr>
          <w:spacing w:val="-9"/>
          <w:w w:val="105"/>
          <w:sz w:val="22"/>
        </w:rPr>
        <w:t> </w:t>
      </w:r>
      <w:r>
        <w:rPr>
          <w:w w:val="105"/>
          <w:sz w:val="22"/>
        </w:rPr>
        <w:t>di</w:t>
      </w:r>
      <w:r>
        <w:rPr>
          <w:spacing w:val="-9"/>
          <w:w w:val="105"/>
          <w:sz w:val="22"/>
        </w:rPr>
        <w:t> </w:t>
      </w:r>
      <w:r>
        <w:rPr>
          <w:w w:val="105"/>
          <w:sz w:val="22"/>
        </w:rPr>
        <w:t>bioetanolo di</w:t>
      </w:r>
      <w:r>
        <w:rPr>
          <w:spacing w:val="-19"/>
          <w:w w:val="105"/>
          <w:sz w:val="22"/>
        </w:rPr>
        <w:t> </w:t>
      </w:r>
      <w:r>
        <w:rPr>
          <w:w w:val="105"/>
          <w:sz w:val="22"/>
        </w:rPr>
        <w:t>IBP;</w:t>
      </w:r>
    </w:p>
    <w:p>
      <w:pPr>
        <w:pStyle w:val="ListParagraph"/>
        <w:numPr>
          <w:ilvl w:val="0"/>
          <w:numId w:val="14"/>
        </w:numPr>
        <w:tabs>
          <w:tab w:pos="935" w:val="left" w:leader="none"/>
        </w:tabs>
        <w:spacing w:line="491" w:lineRule="auto" w:before="3" w:after="0"/>
        <w:ind w:left="934" w:right="2195" w:hanging="534"/>
        <w:jc w:val="both"/>
        <w:rPr>
          <w:sz w:val="22"/>
        </w:rPr>
      </w:pPr>
      <w:r>
        <w:rPr>
          <w:w w:val="105"/>
          <w:sz w:val="22"/>
        </w:rPr>
        <w:t>Nel bilancio di Biochemtex al 31 dicembre 2014 sono rilevati, tra gli altri, </w:t>
      </w:r>
      <w:r>
        <w:rPr>
          <w:i/>
          <w:w w:val="105"/>
          <w:sz w:val="22"/>
        </w:rPr>
        <w:t>(ii) </w:t>
      </w:r>
      <w:r>
        <w:rPr>
          <w:w w:val="105"/>
          <w:sz w:val="22"/>
        </w:rPr>
        <w:t>ricavi per Euro/Mil. 69, di cui </w:t>
      </w:r>
      <w:r>
        <w:rPr>
          <w:b/>
          <w:w w:val="105"/>
          <w:sz w:val="22"/>
        </w:rPr>
        <w:t>Euro/Mil. 28 </w:t>
      </w:r>
      <w:r>
        <w:rPr>
          <w:w w:val="105"/>
          <w:sz w:val="22"/>
        </w:rPr>
        <w:t>relativi ad una commessa acquisita tramite la controllante M&amp;G Finanziaria, alla quale è stato corrisposto un compenso pari ad </w:t>
      </w:r>
      <w:r>
        <w:rPr>
          <w:b/>
          <w:w w:val="105"/>
          <w:sz w:val="22"/>
        </w:rPr>
        <w:t>USD/Mil. 8,5</w:t>
      </w:r>
      <w:r>
        <w:rPr>
          <w:w w:val="105"/>
          <w:sz w:val="22"/>
        </w:rPr>
        <w:t>, </w:t>
      </w:r>
      <w:r>
        <w:rPr>
          <w:i/>
          <w:w w:val="105"/>
          <w:sz w:val="22"/>
        </w:rPr>
        <w:t>(i) </w:t>
      </w:r>
      <w:r>
        <w:rPr>
          <w:w w:val="105"/>
          <w:sz w:val="22"/>
        </w:rPr>
        <w:t>debiti correnti per </w:t>
      </w:r>
      <w:r>
        <w:rPr>
          <w:b/>
          <w:w w:val="105"/>
          <w:sz w:val="22"/>
        </w:rPr>
        <w:t>Euro/Mil. 17 </w:t>
      </w:r>
      <w:r>
        <w:rPr>
          <w:w w:val="105"/>
          <w:sz w:val="22"/>
        </w:rPr>
        <w:t>riferiti ad anticipi ricevuti per contributi su progetti di ricerca in corso e non ancora conclusi (Progetto</w:t>
      </w:r>
      <w:r>
        <w:rPr>
          <w:spacing w:val="-6"/>
          <w:w w:val="105"/>
          <w:sz w:val="22"/>
        </w:rPr>
        <w:t> </w:t>
      </w:r>
      <w:r>
        <w:rPr>
          <w:w w:val="105"/>
          <w:sz w:val="22"/>
        </w:rPr>
        <w:t>Moghi,</w:t>
      </w:r>
      <w:r>
        <w:rPr>
          <w:spacing w:val="-6"/>
          <w:w w:val="105"/>
          <w:sz w:val="22"/>
        </w:rPr>
        <w:t> </w:t>
      </w:r>
      <w:r>
        <w:rPr>
          <w:w w:val="105"/>
          <w:sz w:val="22"/>
        </w:rPr>
        <w:t>Cometha</w:t>
      </w:r>
      <w:r>
        <w:rPr>
          <w:spacing w:val="-5"/>
          <w:w w:val="105"/>
          <w:sz w:val="22"/>
        </w:rPr>
        <w:t> </w:t>
      </w:r>
      <w:r>
        <w:rPr>
          <w:w w:val="105"/>
          <w:sz w:val="22"/>
        </w:rPr>
        <w:t>e</w:t>
      </w:r>
      <w:r>
        <w:rPr>
          <w:spacing w:val="-5"/>
          <w:w w:val="105"/>
          <w:sz w:val="22"/>
        </w:rPr>
        <w:t> </w:t>
      </w:r>
      <w:r>
        <w:rPr>
          <w:w w:val="105"/>
          <w:sz w:val="22"/>
        </w:rPr>
        <w:t>Biorefly)</w:t>
      </w:r>
      <w:r>
        <w:rPr>
          <w:spacing w:val="-6"/>
          <w:w w:val="105"/>
          <w:sz w:val="22"/>
        </w:rPr>
        <w:t> </w:t>
      </w:r>
      <w:r>
        <w:rPr>
          <w:w w:val="105"/>
          <w:sz w:val="22"/>
        </w:rPr>
        <w:t>e</w:t>
      </w:r>
      <w:r>
        <w:rPr>
          <w:spacing w:val="-4"/>
          <w:w w:val="105"/>
          <w:sz w:val="22"/>
        </w:rPr>
        <w:t> </w:t>
      </w:r>
      <w:r>
        <w:rPr>
          <w:i/>
          <w:w w:val="105"/>
          <w:sz w:val="22"/>
        </w:rPr>
        <w:t>(iii)</w:t>
      </w:r>
      <w:r>
        <w:rPr>
          <w:i/>
          <w:spacing w:val="-5"/>
          <w:w w:val="105"/>
          <w:sz w:val="22"/>
        </w:rPr>
        <w:t> </w:t>
      </w:r>
      <w:r>
        <w:rPr>
          <w:w w:val="105"/>
          <w:sz w:val="22"/>
        </w:rPr>
        <w:t>garanzie</w:t>
      </w:r>
      <w:r>
        <w:rPr>
          <w:spacing w:val="-6"/>
          <w:w w:val="105"/>
          <w:sz w:val="22"/>
        </w:rPr>
        <w:t> </w:t>
      </w:r>
      <w:r>
        <w:rPr>
          <w:w w:val="105"/>
          <w:sz w:val="22"/>
        </w:rPr>
        <w:t>(attive</w:t>
      </w:r>
      <w:r>
        <w:rPr>
          <w:spacing w:val="-5"/>
          <w:w w:val="105"/>
          <w:sz w:val="22"/>
        </w:rPr>
        <w:t> </w:t>
      </w:r>
      <w:r>
        <w:rPr>
          <w:w w:val="105"/>
          <w:sz w:val="22"/>
        </w:rPr>
        <w:t>e</w:t>
      </w:r>
      <w:r>
        <w:rPr>
          <w:spacing w:val="-5"/>
          <w:w w:val="105"/>
          <w:sz w:val="22"/>
        </w:rPr>
        <w:t> </w:t>
      </w:r>
      <w:r>
        <w:rPr>
          <w:w w:val="105"/>
          <w:sz w:val="22"/>
        </w:rPr>
        <w:t>passive) rilasciate per </w:t>
      </w:r>
      <w:r>
        <w:rPr>
          <w:b/>
          <w:w w:val="105"/>
          <w:sz w:val="22"/>
        </w:rPr>
        <w:t>Euro/Mil. 323 </w:t>
      </w:r>
      <w:r>
        <w:rPr>
          <w:w w:val="105"/>
          <w:sz w:val="22"/>
        </w:rPr>
        <w:t>a fronte di un ammontare pari ad </w:t>
      </w:r>
      <w:r>
        <w:rPr>
          <w:b/>
          <w:w w:val="105"/>
          <w:sz w:val="22"/>
        </w:rPr>
        <w:t>Euro/Mil.   121  </w:t>
      </w:r>
      <w:r>
        <w:rPr>
          <w:w w:val="105"/>
          <w:sz w:val="22"/>
        </w:rPr>
        <w:t>dell’esercizio  precedente,  </w:t>
      </w:r>
      <w:r>
        <w:rPr>
          <w:w w:val="105"/>
          <w:sz w:val="22"/>
          <w:u w:val="single"/>
        </w:rPr>
        <w:t>per  effetto  di   </w:t>
      </w:r>
      <w:r>
        <w:rPr>
          <w:spacing w:val="23"/>
          <w:w w:val="105"/>
          <w:sz w:val="22"/>
          <w:u w:val="single"/>
        </w:rPr>
        <w:t> </w:t>
      </w:r>
      <w:r>
        <w:rPr>
          <w:w w:val="105"/>
          <w:sz w:val="22"/>
          <w:u w:val="single"/>
        </w:rPr>
        <w:t>quanto</w:t>
      </w:r>
    </w:p>
    <w:p>
      <w:pPr>
        <w:pStyle w:val="BodyText"/>
        <w:spacing w:before="1"/>
        <w:ind w:left="934"/>
      </w:pPr>
      <w:r>
        <w:rPr>
          <w:w w:val="105"/>
          <w:u w:val="single"/>
        </w:rPr>
        <w:t>previsto dal finanziamento BEI</w:t>
      </w:r>
      <w:r>
        <w:rPr>
          <w:w w:val="105"/>
        </w:rPr>
        <w:t>.</w:t>
      </w:r>
    </w:p>
    <w:p>
      <w:pPr>
        <w:pStyle w:val="BodyText"/>
        <w:spacing w:before="1"/>
        <w:rPr>
          <w:sz w:val="23"/>
        </w:rPr>
      </w:pPr>
    </w:p>
    <w:p>
      <w:pPr>
        <w:pStyle w:val="ListParagraph"/>
        <w:numPr>
          <w:ilvl w:val="0"/>
          <w:numId w:val="14"/>
        </w:numPr>
        <w:tabs>
          <w:tab w:pos="935" w:val="left" w:leader="none"/>
        </w:tabs>
        <w:spacing w:line="489" w:lineRule="auto" w:before="0" w:after="0"/>
        <w:ind w:left="934" w:right="2194" w:hanging="534"/>
        <w:jc w:val="both"/>
        <w:rPr>
          <w:sz w:val="22"/>
        </w:rPr>
      </w:pPr>
      <w:r>
        <w:rPr>
          <w:w w:val="105"/>
          <w:sz w:val="22"/>
        </w:rPr>
        <w:t>La Società ha deliberato compensi amministratori per complessivi Euro 2.700.000,00 di cui (i) Euro 2.600.000,00 a favore di Guido Ghisolfi</w:t>
      </w:r>
      <w:r>
        <w:rPr>
          <w:spacing w:val="-15"/>
          <w:w w:val="105"/>
          <w:sz w:val="22"/>
        </w:rPr>
        <w:t> </w:t>
      </w:r>
      <w:r>
        <w:rPr>
          <w:w w:val="105"/>
          <w:sz w:val="22"/>
        </w:rPr>
        <w:t>e</w:t>
      </w:r>
      <w:r>
        <w:rPr>
          <w:spacing w:val="-16"/>
          <w:w w:val="105"/>
          <w:sz w:val="22"/>
        </w:rPr>
        <w:t> </w:t>
      </w:r>
      <w:r>
        <w:rPr>
          <w:w w:val="105"/>
          <w:sz w:val="22"/>
        </w:rPr>
        <w:t>(ii)</w:t>
      </w:r>
      <w:r>
        <w:rPr>
          <w:spacing w:val="-16"/>
          <w:w w:val="105"/>
          <w:sz w:val="22"/>
        </w:rPr>
        <w:t> </w:t>
      </w:r>
      <w:r>
        <w:rPr>
          <w:w w:val="105"/>
          <w:sz w:val="22"/>
        </w:rPr>
        <w:t>Euro</w:t>
      </w:r>
      <w:r>
        <w:rPr>
          <w:spacing w:val="-16"/>
          <w:w w:val="105"/>
          <w:sz w:val="22"/>
        </w:rPr>
        <w:t> </w:t>
      </w:r>
      <w:r>
        <w:rPr>
          <w:w w:val="105"/>
          <w:sz w:val="22"/>
        </w:rPr>
        <w:t>100.000,00</w:t>
      </w:r>
      <w:r>
        <w:rPr>
          <w:spacing w:val="-15"/>
          <w:w w:val="105"/>
          <w:sz w:val="22"/>
        </w:rPr>
        <w:t> </w:t>
      </w:r>
      <w:r>
        <w:rPr>
          <w:w w:val="105"/>
          <w:sz w:val="22"/>
        </w:rPr>
        <w:t>a</w:t>
      </w:r>
      <w:r>
        <w:rPr>
          <w:spacing w:val="-16"/>
          <w:w w:val="105"/>
          <w:sz w:val="22"/>
        </w:rPr>
        <w:t> </w:t>
      </w:r>
      <w:r>
        <w:rPr>
          <w:w w:val="105"/>
          <w:sz w:val="22"/>
        </w:rPr>
        <w:t>favore</w:t>
      </w:r>
      <w:r>
        <w:rPr>
          <w:spacing w:val="-16"/>
          <w:w w:val="105"/>
          <w:sz w:val="22"/>
        </w:rPr>
        <w:t> </w:t>
      </w:r>
      <w:r>
        <w:rPr>
          <w:w w:val="105"/>
          <w:sz w:val="22"/>
        </w:rPr>
        <w:t>di</w:t>
      </w:r>
      <w:r>
        <w:rPr>
          <w:spacing w:val="-16"/>
          <w:w w:val="105"/>
          <w:sz w:val="22"/>
        </w:rPr>
        <w:t> </w:t>
      </w:r>
      <w:r>
        <w:rPr>
          <w:w w:val="105"/>
          <w:sz w:val="22"/>
        </w:rPr>
        <w:t>Mario</w:t>
      </w:r>
      <w:r>
        <w:rPr>
          <w:spacing w:val="-16"/>
          <w:w w:val="105"/>
          <w:sz w:val="22"/>
        </w:rPr>
        <w:t> </w:t>
      </w:r>
      <w:r>
        <w:rPr>
          <w:w w:val="105"/>
          <w:sz w:val="22"/>
        </w:rPr>
        <w:t>Murri.</w:t>
      </w:r>
    </w:p>
    <w:p>
      <w:pPr>
        <w:pStyle w:val="ListParagraph"/>
        <w:numPr>
          <w:ilvl w:val="0"/>
          <w:numId w:val="14"/>
        </w:numPr>
        <w:tabs>
          <w:tab w:pos="935" w:val="left" w:leader="none"/>
        </w:tabs>
        <w:spacing w:line="484" w:lineRule="auto" w:before="2" w:after="0"/>
        <w:ind w:left="934" w:right="2195" w:hanging="534"/>
        <w:jc w:val="both"/>
        <w:rPr>
          <w:sz w:val="22"/>
        </w:rPr>
      </w:pPr>
      <w:r>
        <w:rPr>
          <w:w w:val="105"/>
          <w:sz w:val="22"/>
        </w:rPr>
        <w:t>Con riferimento al bilancio d’esercizio al 31 dicembre 2014, la società di</w:t>
      </w:r>
      <w:r>
        <w:rPr>
          <w:spacing w:val="-20"/>
          <w:w w:val="105"/>
          <w:sz w:val="22"/>
        </w:rPr>
        <w:t> </w:t>
      </w:r>
      <w:r>
        <w:rPr>
          <w:w w:val="105"/>
          <w:sz w:val="22"/>
        </w:rPr>
        <w:t>revisione,</w:t>
      </w:r>
      <w:r>
        <w:rPr>
          <w:spacing w:val="-20"/>
          <w:w w:val="105"/>
          <w:sz w:val="22"/>
        </w:rPr>
        <w:t> </w:t>
      </w:r>
      <w:r>
        <w:rPr>
          <w:w w:val="105"/>
          <w:sz w:val="22"/>
          <w:u w:val="single"/>
        </w:rPr>
        <w:t>a</w:t>
      </w:r>
      <w:r>
        <w:rPr>
          <w:spacing w:val="-20"/>
          <w:w w:val="105"/>
          <w:sz w:val="22"/>
          <w:u w:val="single"/>
        </w:rPr>
        <w:t> </w:t>
      </w:r>
      <w:r>
        <w:rPr>
          <w:w w:val="105"/>
          <w:sz w:val="22"/>
          <w:u w:val="single"/>
        </w:rPr>
        <w:t>titolo</w:t>
      </w:r>
      <w:r>
        <w:rPr>
          <w:spacing w:val="-20"/>
          <w:w w:val="105"/>
          <w:sz w:val="22"/>
          <w:u w:val="single"/>
        </w:rPr>
        <w:t> </w:t>
      </w:r>
      <w:r>
        <w:rPr>
          <w:w w:val="105"/>
          <w:sz w:val="22"/>
          <w:u w:val="single"/>
        </w:rPr>
        <w:t>di</w:t>
      </w:r>
      <w:r>
        <w:rPr>
          <w:spacing w:val="-20"/>
          <w:w w:val="105"/>
          <w:sz w:val="22"/>
          <w:u w:val="single"/>
        </w:rPr>
        <w:t> </w:t>
      </w:r>
      <w:r>
        <w:rPr>
          <w:w w:val="105"/>
          <w:sz w:val="22"/>
          <w:u w:val="single"/>
        </w:rPr>
        <w:t>richiamo</w:t>
      </w:r>
      <w:r>
        <w:rPr>
          <w:spacing w:val="-20"/>
          <w:w w:val="105"/>
          <w:sz w:val="22"/>
          <w:u w:val="single"/>
        </w:rPr>
        <w:t> </w:t>
      </w:r>
      <w:r>
        <w:rPr>
          <w:w w:val="105"/>
          <w:sz w:val="22"/>
          <w:u w:val="single"/>
        </w:rPr>
        <w:t>d’informativa</w:t>
      </w:r>
      <w:r>
        <w:rPr>
          <w:w w:val="105"/>
          <w:sz w:val="22"/>
        </w:rPr>
        <w:t>,</w:t>
      </w:r>
      <w:r>
        <w:rPr>
          <w:spacing w:val="-20"/>
          <w:w w:val="105"/>
          <w:sz w:val="22"/>
        </w:rPr>
        <w:t> </w:t>
      </w:r>
      <w:r>
        <w:rPr>
          <w:w w:val="105"/>
          <w:sz w:val="22"/>
        </w:rPr>
        <w:t>segnala</w:t>
      </w:r>
      <w:r>
        <w:rPr>
          <w:spacing w:val="-20"/>
          <w:w w:val="105"/>
          <w:sz w:val="22"/>
        </w:rPr>
        <w:t> </w:t>
      </w:r>
      <w:r>
        <w:rPr>
          <w:w w:val="105"/>
          <w:sz w:val="22"/>
        </w:rPr>
        <w:t>che:</w:t>
      </w:r>
    </w:p>
    <w:p>
      <w:pPr>
        <w:pStyle w:val="ListParagraph"/>
        <w:numPr>
          <w:ilvl w:val="3"/>
          <w:numId w:val="13"/>
        </w:numPr>
        <w:tabs>
          <w:tab w:pos="1613" w:val="left" w:leader="none"/>
        </w:tabs>
        <w:spacing w:line="491" w:lineRule="auto" w:before="7" w:after="0"/>
        <w:ind w:left="1612" w:right="2195" w:hanging="678"/>
        <w:jc w:val="both"/>
        <w:rPr>
          <w:sz w:val="22"/>
        </w:rPr>
      </w:pPr>
      <w:r>
        <w:rPr>
          <w:w w:val="105"/>
          <w:sz w:val="22"/>
        </w:rPr>
        <w:t>la Società intrattiene significativi rapporti di natura commerciale e finanziaria con le società del Gruppo, da cui derivano disponibilità da </w:t>
      </w:r>
      <w:r>
        <w:rPr>
          <w:i/>
          <w:w w:val="105"/>
          <w:sz w:val="22"/>
        </w:rPr>
        <w:t>Cash Pooling </w:t>
      </w:r>
      <w:r>
        <w:rPr>
          <w:w w:val="105"/>
          <w:sz w:val="22"/>
        </w:rPr>
        <w:t>per </w:t>
      </w:r>
      <w:r>
        <w:rPr>
          <w:b/>
          <w:w w:val="105"/>
          <w:sz w:val="22"/>
        </w:rPr>
        <w:t>Euro/Mil. 161</w:t>
      </w:r>
      <w:r>
        <w:rPr>
          <w:w w:val="105"/>
          <w:sz w:val="22"/>
        </w:rPr>
        <w:t>,  </w:t>
      </w:r>
      <w:r>
        <w:rPr>
          <w:spacing w:val="45"/>
          <w:w w:val="105"/>
          <w:sz w:val="22"/>
        </w:rPr>
        <w:t> </w:t>
      </w:r>
      <w:r>
        <w:rPr>
          <w:w w:val="105"/>
          <w:sz w:val="22"/>
        </w:rPr>
        <w:t>di</w:t>
      </w:r>
    </w:p>
    <w:p>
      <w:pPr>
        <w:spacing w:after="0" w:line="491" w:lineRule="auto"/>
        <w:jc w:val="both"/>
        <w:rPr>
          <w:sz w:val="22"/>
        </w:rPr>
        <w:sectPr>
          <w:pgSz w:w="12240" w:h="15840"/>
          <w:pgMar w:header="0" w:footer="790" w:top="1500" w:bottom="980" w:left="1720" w:right="1200"/>
        </w:sectPr>
      </w:pPr>
    </w:p>
    <w:p>
      <w:pPr>
        <w:pStyle w:val="BodyText"/>
        <w:spacing w:line="491" w:lineRule="auto" w:before="105"/>
        <w:ind w:left="1612" w:right="2195"/>
        <w:jc w:val="both"/>
      </w:pPr>
      <w:r>
        <w:rPr>
          <w:w w:val="105"/>
        </w:rPr>
        <w:t>cui </w:t>
      </w:r>
      <w:r>
        <w:rPr>
          <w:b/>
          <w:w w:val="105"/>
        </w:rPr>
        <w:t>Euro/Mil. 137 </w:t>
      </w:r>
      <w:r>
        <w:rPr>
          <w:w w:val="105"/>
        </w:rPr>
        <w:t>verso M&amp;G Finanziaria; tale disponibilità si prevede che venga utilizzata per una parte significativa per l’acquisto dalla controllante delle società del Gruppo BIO, di cui si dirà;</w:t>
      </w:r>
    </w:p>
    <w:p>
      <w:pPr>
        <w:pStyle w:val="ListParagraph"/>
        <w:numPr>
          <w:ilvl w:val="3"/>
          <w:numId w:val="13"/>
        </w:numPr>
        <w:tabs>
          <w:tab w:pos="1613" w:val="left" w:leader="none"/>
        </w:tabs>
        <w:spacing w:line="491" w:lineRule="auto" w:before="0" w:after="0"/>
        <w:ind w:left="1612" w:right="2198" w:hanging="678"/>
        <w:jc w:val="both"/>
        <w:rPr>
          <w:sz w:val="22"/>
        </w:rPr>
      </w:pPr>
      <w:r>
        <w:rPr>
          <w:w w:val="105"/>
          <w:sz w:val="22"/>
        </w:rPr>
        <w:t>gli amministratori hanno redatto il bilancio sul presupposto della continuità aziendale, anche in considerazione delle previsioni</w:t>
      </w:r>
      <w:r>
        <w:rPr>
          <w:spacing w:val="-23"/>
          <w:w w:val="105"/>
          <w:sz w:val="22"/>
        </w:rPr>
        <w:t> </w:t>
      </w:r>
      <w:r>
        <w:rPr>
          <w:w w:val="105"/>
          <w:sz w:val="22"/>
        </w:rPr>
        <w:t>contenute</w:t>
      </w:r>
      <w:r>
        <w:rPr>
          <w:spacing w:val="-25"/>
          <w:w w:val="105"/>
          <w:sz w:val="22"/>
        </w:rPr>
        <w:t> </w:t>
      </w:r>
      <w:r>
        <w:rPr>
          <w:w w:val="105"/>
          <w:sz w:val="22"/>
        </w:rPr>
        <w:t>nel</w:t>
      </w:r>
      <w:r>
        <w:rPr>
          <w:spacing w:val="-23"/>
          <w:w w:val="105"/>
          <w:sz w:val="22"/>
        </w:rPr>
        <w:t> </w:t>
      </w:r>
      <w:r>
        <w:rPr>
          <w:i/>
          <w:w w:val="105"/>
          <w:sz w:val="22"/>
        </w:rPr>
        <w:t>Business</w:t>
      </w:r>
      <w:r>
        <w:rPr>
          <w:i/>
          <w:spacing w:val="-24"/>
          <w:w w:val="105"/>
          <w:sz w:val="22"/>
        </w:rPr>
        <w:t> </w:t>
      </w:r>
      <w:r>
        <w:rPr>
          <w:i/>
          <w:w w:val="105"/>
          <w:sz w:val="22"/>
        </w:rPr>
        <w:t>Plan</w:t>
      </w:r>
      <w:r>
        <w:rPr>
          <w:i/>
          <w:spacing w:val="-24"/>
          <w:w w:val="105"/>
          <w:sz w:val="22"/>
        </w:rPr>
        <w:t> </w:t>
      </w:r>
      <w:r>
        <w:rPr>
          <w:w w:val="105"/>
          <w:sz w:val="22"/>
        </w:rPr>
        <w:t>2015-2018;</w:t>
      </w:r>
    </w:p>
    <w:p>
      <w:pPr>
        <w:pStyle w:val="Heading1"/>
        <w:numPr>
          <w:ilvl w:val="2"/>
          <w:numId w:val="13"/>
        </w:numPr>
        <w:tabs>
          <w:tab w:pos="1067" w:val="left" w:leader="none"/>
          <w:tab w:pos="1068" w:val="left" w:leader="none"/>
        </w:tabs>
        <w:spacing w:line="254" w:lineRule="exact" w:before="0" w:after="0"/>
        <w:ind w:left="1067" w:right="0" w:hanging="667"/>
        <w:jc w:val="left"/>
      </w:pPr>
      <w:bookmarkStart w:name="_TOC_250038" w:id="14"/>
      <w:r>
        <w:rPr>
          <w:w w:val="95"/>
        </w:rPr>
        <w:t>Esercizio</w:t>
      </w:r>
      <w:r>
        <w:rPr>
          <w:spacing w:val="-17"/>
          <w:w w:val="95"/>
        </w:rPr>
        <w:t> </w:t>
      </w:r>
      <w:bookmarkEnd w:id="14"/>
      <w:r>
        <w:rPr>
          <w:w w:val="95"/>
        </w:rPr>
        <w:t>2015</w:t>
      </w:r>
    </w:p>
    <w:p>
      <w:pPr>
        <w:pStyle w:val="BodyText"/>
        <w:spacing w:before="7"/>
        <w:rPr>
          <w:b/>
          <w:i/>
        </w:rPr>
      </w:pPr>
    </w:p>
    <w:p>
      <w:pPr>
        <w:pStyle w:val="ListParagraph"/>
        <w:numPr>
          <w:ilvl w:val="0"/>
          <w:numId w:val="14"/>
        </w:numPr>
        <w:tabs>
          <w:tab w:pos="935" w:val="left" w:leader="none"/>
        </w:tabs>
        <w:spacing w:line="489" w:lineRule="auto" w:before="0" w:after="0"/>
        <w:ind w:left="934" w:right="2195" w:hanging="534"/>
        <w:jc w:val="both"/>
        <w:rPr>
          <w:sz w:val="22"/>
        </w:rPr>
      </w:pPr>
      <w:r>
        <w:rPr>
          <w:w w:val="105"/>
          <w:sz w:val="22"/>
        </w:rPr>
        <w:t>Nel gennaio 2015 la Società sottoscrive un accordo quadro di durata quinquennale con la controllata Beta Renewables, per la fornitura di servizi di ingegneria relativi alla predisposizione del “Process Design Package”</w:t>
      </w:r>
      <w:r>
        <w:rPr>
          <w:spacing w:val="-28"/>
          <w:w w:val="105"/>
          <w:sz w:val="22"/>
        </w:rPr>
        <w:t> </w:t>
      </w:r>
      <w:r>
        <w:rPr>
          <w:w w:val="105"/>
          <w:sz w:val="22"/>
        </w:rPr>
        <w:t>sulla</w:t>
      </w:r>
      <w:r>
        <w:rPr>
          <w:spacing w:val="-28"/>
          <w:w w:val="105"/>
          <w:sz w:val="22"/>
        </w:rPr>
        <w:t> </w:t>
      </w:r>
      <w:r>
        <w:rPr>
          <w:w w:val="105"/>
          <w:sz w:val="22"/>
        </w:rPr>
        <w:t>tecnologia</w:t>
      </w:r>
      <w:r>
        <w:rPr>
          <w:spacing w:val="-27"/>
          <w:w w:val="105"/>
          <w:sz w:val="22"/>
        </w:rPr>
        <w:t> </w:t>
      </w:r>
      <w:r>
        <w:rPr>
          <w:w w:val="105"/>
          <w:sz w:val="22"/>
        </w:rPr>
        <w:t>PROESA;</w:t>
      </w:r>
    </w:p>
    <w:p>
      <w:pPr>
        <w:pStyle w:val="ListParagraph"/>
        <w:numPr>
          <w:ilvl w:val="0"/>
          <w:numId w:val="14"/>
        </w:numPr>
        <w:tabs>
          <w:tab w:pos="935" w:val="left" w:leader="none"/>
        </w:tabs>
        <w:spacing w:line="491" w:lineRule="auto" w:before="2" w:after="0"/>
        <w:ind w:left="934" w:right="2194" w:hanging="534"/>
        <w:jc w:val="both"/>
        <w:rPr>
          <w:sz w:val="22"/>
        </w:rPr>
      </w:pPr>
      <w:r>
        <w:rPr>
          <w:w w:val="105"/>
          <w:sz w:val="22"/>
        </w:rPr>
        <w:t>Nel mese di giugno si è realizzato l’acquisto per complessivi </w:t>
      </w:r>
      <w:r>
        <w:rPr>
          <w:b/>
          <w:w w:val="105"/>
          <w:sz w:val="22"/>
        </w:rPr>
        <w:t>Euro/Mil.</w:t>
      </w:r>
      <w:r>
        <w:rPr>
          <w:b/>
          <w:spacing w:val="-15"/>
          <w:w w:val="105"/>
          <w:sz w:val="22"/>
        </w:rPr>
        <w:t> </w:t>
      </w:r>
      <w:r>
        <w:rPr>
          <w:b/>
          <w:w w:val="105"/>
          <w:sz w:val="22"/>
        </w:rPr>
        <w:t>85</w:t>
      </w:r>
      <w:r>
        <w:rPr>
          <w:b/>
          <w:spacing w:val="-16"/>
          <w:w w:val="105"/>
          <w:sz w:val="22"/>
        </w:rPr>
        <w:t> </w:t>
      </w:r>
      <w:r>
        <w:rPr>
          <w:w w:val="105"/>
          <w:sz w:val="22"/>
        </w:rPr>
        <w:t>dalla</w:t>
      </w:r>
      <w:r>
        <w:rPr>
          <w:spacing w:val="-21"/>
          <w:w w:val="105"/>
          <w:sz w:val="22"/>
        </w:rPr>
        <w:t> </w:t>
      </w:r>
      <w:r>
        <w:rPr>
          <w:w w:val="105"/>
          <w:sz w:val="22"/>
        </w:rPr>
        <w:t>controllante</w:t>
      </w:r>
      <w:r>
        <w:rPr>
          <w:spacing w:val="-22"/>
          <w:w w:val="105"/>
          <w:sz w:val="22"/>
        </w:rPr>
        <w:t> </w:t>
      </w:r>
      <w:r>
        <w:rPr>
          <w:w w:val="105"/>
          <w:sz w:val="22"/>
        </w:rPr>
        <w:t>M&amp;G</w:t>
      </w:r>
      <w:r>
        <w:rPr>
          <w:spacing w:val="-21"/>
          <w:w w:val="105"/>
          <w:sz w:val="22"/>
        </w:rPr>
        <w:t> </w:t>
      </w:r>
      <w:r>
        <w:rPr>
          <w:w w:val="105"/>
          <w:sz w:val="22"/>
        </w:rPr>
        <w:t>Finanziaria</w:t>
      </w:r>
      <w:r>
        <w:rPr>
          <w:spacing w:val="-21"/>
          <w:w w:val="105"/>
          <w:sz w:val="22"/>
        </w:rPr>
        <w:t> </w:t>
      </w:r>
      <w:r>
        <w:rPr>
          <w:w w:val="105"/>
          <w:sz w:val="22"/>
        </w:rPr>
        <w:t>delle</w:t>
      </w:r>
      <w:r>
        <w:rPr>
          <w:spacing w:val="-21"/>
          <w:w w:val="105"/>
          <w:sz w:val="22"/>
        </w:rPr>
        <w:t> </w:t>
      </w:r>
      <w:r>
        <w:rPr>
          <w:w w:val="105"/>
          <w:sz w:val="22"/>
        </w:rPr>
        <w:t>partecipazioni del</w:t>
      </w:r>
      <w:r>
        <w:rPr>
          <w:spacing w:val="-11"/>
          <w:w w:val="105"/>
          <w:sz w:val="22"/>
        </w:rPr>
        <w:t> </w:t>
      </w:r>
      <w:r>
        <w:rPr>
          <w:w w:val="105"/>
          <w:sz w:val="22"/>
        </w:rPr>
        <w:t>comparto</w:t>
      </w:r>
      <w:r>
        <w:rPr>
          <w:spacing w:val="-11"/>
          <w:w w:val="105"/>
          <w:sz w:val="22"/>
        </w:rPr>
        <w:t> </w:t>
      </w:r>
      <w:r>
        <w:rPr>
          <w:w w:val="105"/>
          <w:sz w:val="22"/>
        </w:rPr>
        <w:t>BIO:</w:t>
      </w:r>
      <w:r>
        <w:rPr>
          <w:spacing w:val="-11"/>
          <w:w w:val="105"/>
          <w:sz w:val="22"/>
        </w:rPr>
        <w:t> </w:t>
      </w:r>
      <w:r>
        <w:rPr>
          <w:w w:val="105"/>
          <w:sz w:val="22"/>
        </w:rPr>
        <w:t>IBP</w:t>
      </w:r>
      <w:r>
        <w:rPr>
          <w:spacing w:val="-12"/>
          <w:w w:val="105"/>
          <w:sz w:val="22"/>
        </w:rPr>
        <w:t> </w:t>
      </w:r>
      <w:r>
        <w:rPr>
          <w:w w:val="105"/>
          <w:sz w:val="22"/>
        </w:rPr>
        <w:t>(Euro/Mil.</w:t>
      </w:r>
      <w:r>
        <w:rPr>
          <w:spacing w:val="-14"/>
          <w:w w:val="105"/>
          <w:sz w:val="22"/>
        </w:rPr>
        <w:t> </w:t>
      </w:r>
      <w:r>
        <w:rPr>
          <w:w w:val="105"/>
          <w:sz w:val="22"/>
        </w:rPr>
        <w:t>64),</w:t>
      </w:r>
      <w:r>
        <w:rPr>
          <w:spacing w:val="-11"/>
          <w:w w:val="105"/>
          <w:sz w:val="22"/>
        </w:rPr>
        <w:t> </w:t>
      </w:r>
      <w:r>
        <w:rPr>
          <w:w w:val="105"/>
          <w:sz w:val="22"/>
        </w:rPr>
        <w:t>IBP</w:t>
      </w:r>
      <w:r>
        <w:rPr>
          <w:spacing w:val="-11"/>
          <w:w w:val="105"/>
          <w:sz w:val="22"/>
        </w:rPr>
        <w:t> </w:t>
      </w:r>
      <w:r>
        <w:rPr>
          <w:w w:val="105"/>
          <w:sz w:val="22"/>
        </w:rPr>
        <w:t>Energia</w:t>
      </w:r>
      <w:r>
        <w:rPr>
          <w:spacing w:val="-10"/>
          <w:w w:val="105"/>
          <w:sz w:val="22"/>
        </w:rPr>
        <w:t> </w:t>
      </w:r>
      <w:r>
        <w:rPr>
          <w:w w:val="105"/>
          <w:sz w:val="22"/>
        </w:rPr>
        <w:t>(Euro/Mil.</w:t>
      </w:r>
      <w:r>
        <w:rPr>
          <w:spacing w:val="-11"/>
          <w:w w:val="105"/>
          <w:sz w:val="22"/>
        </w:rPr>
        <w:t> </w:t>
      </w:r>
      <w:r>
        <w:rPr>
          <w:w w:val="105"/>
          <w:sz w:val="22"/>
        </w:rPr>
        <w:t>19,2) e Biochemtex Agro (Euro/Mil. 1,6), quest’ultima poi incorporata</w:t>
      </w:r>
      <w:r>
        <w:rPr>
          <w:spacing w:val="-26"/>
          <w:w w:val="105"/>
          <w:sz w:val="22"/>
        </w:rPr>
        <w:t> </w:t>
      </w:r>
      <w:r>
        <w:rPr>
          <w:w w:val="105"/>
          <w:sz w:val="22"/>
        </w:rPr>
        <w:t>con atto di fusione del dicembre 2015 in IBP). Tale acquisizione, essendo regolata tramite un conto di corrispondenza infragruppo, ha comportato la riduzione del credito da </w:t>
      </w:r>
      <w:r>
        <w:rPr>
          <w:i/>
          <w:w w:val="105"/>
          <w:sz w:val="22"/>
        </w:rPr>
        <w:t>Cash Pooling </w:t>
      </w:r>
      <w:r>
        <w:rPr>
          <w:w w:val="105"/>
          <w:sz w:val="22"/>
        </w:rPr>
        <w:t>vantato da Biochemtex verso la controllante da </w:t>
      </w:r>
      <w:r>
        <w:rPr>
          <w:b/>
          <w:w w:val="105"/>
          <w:sz w:val="22"/>
        </w:rPr>
        <w:t>Euro/Mil. 137,3 </w:t>
      </w:r>
      <w:r>
        <w:rPr>
          <w:w w:val="105"/>
          <w:sz w:val="22"/>
        </w:rPr>
        <w:t>nel 2014 ad </w:t>
      </w:r>
      <w:r>
        <w:rPr>
          <w:b/>
          <w:w w:val="105"/>
          <w:sz w:val="22"/>
        </w:rPr>
        <w:t>Euro/Mil. 53,5 </w:t>
      </w:r>
      <w:r>
        <w:rPr>
          <w:w w:val="105"/>
          <w:sz w:val="22"/>
        </w:rPr>
        <w:t>nel 2015; in aggiunta successivamente nell’anno, la Società ha effettuato un versamento in conto capitale alla controllata IBP per </w:t>
      </w:r>
      <w:r>
        <w:rPr>
          <w:b/>
          <w:w w:val="105"/>
          <w:sz w:val="22"/>
        </w:rPr>
        <w:t>Euro/Mil. 20</w:t>
      </w:r>
      <w:r>
        <w:rPr>
          <w:w w:val="105"/>
          <w:sz w:val="22"/>
        </w:rPr>
        <w:t>. A supporto dell’anzidetta operazione di acquisto viene conferito incarico a Deloitte Financial Advisory  </w:t>
      </w:r>
      <w:r>
        <w:rPr>
          <w:spacing w:val="35"/>
          <w:w w:val="105"/>
          <w:sz w:val="22"/>
        </w:rPr>
        <w:t> </w:t>
      </w:r>
      <w:r>
        <w:rPr>
          <w:w w:val="105"/>
          <w:sz w:val="22"/>
        </w:rPr>
        <w:t>che,</w:t>
      </w:r>
    </w:p>
    <w:p>
      <w:pPr>
        <w:spacing w:after="0" w:line="491" w:lineRule="auto"/>
        <w:jc w:val="both"/>
        <w:rPr>
          <w:sz w:val="22"/>
        </w:rPr>
        <w:sectPr>
          <w:pgSz w:w="12240" w:h="15840"/>
          <w:pgMar w:header="0" w:footer="790" w:top="1500" w:bottom="980" w:left="1720" w:right="1200"/>
        </w:sectPr>
      </w:pPr>
    </w:p>
    <w:p>
      <w:pPr>
        <w:pStyle w:val="BodyText"/>
        <w:spacing w:line="491" w:lineRule="auto" w:before="105"/>
        <w:ind w:left="934" w:right="2196"/>
        <w:jc w:val="both"/>
      </w:pPr>
      <w:r>
        <w:rPr>
          <w:w w:val="105"/>
        </w:rPr>
        <w:t>con perizia datata 16 giugno 2015, stima il valore del capitale economico</w:t>
      </w:r>
      <w:r>
        <w:rPr>
          <w:spacing w:val="-17"/>
          <w:w w:val="105"/>
        </w:rPr>
        <w:t> </w:t>
      </w:r>
      <w:r>
        <w:rPr>
          <w:w w:val="105"/>
        </w:rPr>
        <w:t>delle</w:t>
      </w:r>
      <w:r>
        <w:rPr>
          <w:spacing w:val="-16"/>
          <w:w w:val="105"/>
        </w:rPr>
        <w:t> </w:t>
      </w:r>
      <w:r>
        <w:rPr>
          <w:w w:val="105"/>
        </w:rPr>
        <w:t>anzidette</w:t>
      </w:r>
      <w:r>
        <w:rPr>
          <w:spacing w:val="-15"/>
          <w:w w:val="105"/>
        </w:rPr>
        <w:t> </w:t>
      </w:r>
      <w:r>
        <w:rPr>
          <w:w w:val="105"/>
        </w:rPr>
        <w:t>società</w:t>
      </w:r>
      <w:r>
        <w:rPr>
          <w:spacing w:val="-16"/>
          <w:w w:val="105"/>
        </w:rPr>
        <w:t> </w:t>
      </w:r>
      <w:r>
        <w:rPr>
          <w:w w:val="105"/>
        </w:rPr>
        <w:t>in</w:t>
      </w:r>
      <w:r>
        <w:rPr>
          <w:spacing w:val="-16"/>
          <w:w w:val="105"/>
        </w:rPr>
        <w:t> </w:t>
      </w:r>
      <w:r>
        <w:rPr>
          <w:w w:val="105"/>
        </w:rPr>
        <w:t>un</w:t>
      </w:r>
      <w:r>
        <w:rPr>
          <w:spacing w:val="-16"/>
          <w:w w:val="105"/>
        </w:rPr>
        <w:t> </w:t>
      </w:r>
      <w:r>
        <w:rPr>
          <w:w w:val="105"/>
        </w:rPr>
        <w:t>intervallo</w:t>
      </w:r>
      <w:r>
        <w:rPr>
          <w:spacing w:val="-16"/>
          <w:w w:val="105"/>
        </w:rPr>
        <w:t> </w:t>
      </w:r>
      <w:r>
        <w:rPr>
          <w:w w:val="105"/>
        </w:rPr>
        <w:t>tra</w:t>
      </w:r>
      <w:r>
        <w:rPr>
          <w:spacing w:val="-17"/>
          <w:w w:val="105"/>
        </w:rPr>
        <w:t> </w:t>
      </w:r>
      <w:r>
        <w:rPr>
          <w:b/>
          <w:w w:val="105"/>
        </w:rPr>
        <w:t>Euro/Mil.</w:t>
      </w:r>
      <w:r>
        <w:rPr>
          <w:b/>
          <w:spacing w:val="-10"/>
          <w:w w:val="105"/>
        </w:rPr>
        <w:t> </w:t>
      </w:r>
      <w:r>
        <w:rPr>
          <w:b/>
          <w:w w:val="105"/>
        </w:rPr>
        <w:t>77</w:t>
      </w:r>
      <w:r>
        <w:rPr>
          <w:b/>
          <w:spacing w:val="-15"/>
          <w:w w:val="105"/>
        </w:rPr>
        <w:t> </w:t>
      </w:r>
      <w:r>
        <w:rPr>
          <w:w w:val="105"/>
        </w:rPr>
        <w:t>ed </w:t>
      </w:r>
      <w:r>
        <w:rPr>
          <w:b/>
          <w:w w:val="105"/>
        </w:rPr>
        <w:t>Euro/Mil.</w:t>
      </w:r>
      <w:r>
        <w:rPr>
          <w:b/>
          <w:spacing w:val="-33"/>
          <w:w w:val="105"/>
        </w:rPr>
        <w:t> </w:t>
      </w:r>
      <w:r>
        <w:rPr>
          <w:b/>
          <w:w w:val="105"/>
        </w:rPr>
        <w:t>85</w:t>
      </w:r>
      <w:r>
        <w:rPr>
          <w:w w:val="105"/>
        </w:rPr>
        <w:t>;</w:t>
      </w:r>
    </w:p>
    <w:p>
      <w:pPr>
        <w:pStyle w:val="ListParagraph"/>
        <w:numPr>
          <w:ilvl w:val="0"/>
          <w:numId w:val="14"/>
        </w:numPr>
        <w:tabs>
          <w:tab w:pos="935" w:val="left" w:leader="none"/>
        </w:tabs>
        <w:spacing w:line="489" w:lineRule="auto" w:before="0" w:after="0"/>
        <w:ind w:left="934" w:right="2194" w:hanging="534"/>
        <w:jc w:val="both"/>
        <w:rPr>
          <w:sz w:val="22"/>
        </w:rPr>
      </w:pPr>
      <w:r>
        <w:rPr>
          <w:w w:val="105"/>
          <w:sz w:val="22"/>
        </w:rPr>
        <w:t>Il risultato d’esercizio, pari ad </w:t>
      </w:r>
      <w:r>
        <w:rPr>
          <w:b/>
          <w:w w:val="105"/>
          <w:sz w:val="22"/>
        </w:rPr>
        <w:t>Euro/Mil. 13,1</w:t>
      </w:r>
      <w:r>
        <w:rPr>
          <w:w w:val="105"/>
          <w:sz w:val="22"/>
        </w:rPr>
        <w:t>, ha beneficiato del rilascio di un fondo su commessa, accantonato nell’esercizio 2014 e pari ad </w:t>
      </w:r>
      <w:r>
        <w:rPr>
          <w:b/>
          <w:w w:val="105"/>
          <w:sz w:val="22"/>
        </w:rPr>
        <w:t>Euro/Mil. 4,0 </w:t>
      </w:r>
      <w:r>
        <w:rPr>
          <w:w w:val="105"/>
          <w:sz w:val="22"/>
        </w:rPr>
        <w:t>in quanto la Società ha valutato che fossero venuti meno i relativi rischi, avendo concordato con Novozymes la modifica</w:t>
      </w:r>
      <w:r>
        <w:rPr>
          <w:spacing w:val="-27"/>
          <w:w w:val="105"/>
          <w:sz w:val="22"/>
        </w:rPr>
        <w:t> </w:t>
      </w:r>
      <w:r>
        <w:rPr>
          <w:w w:val="105"/>
          <w:sz w:val="22"/>
        </w:rPr>
        <w:t>del</w:t>
      </w:r>
      <w:r>
        <w:rPr>
          <w:spacing w:val="-26"/>
          <w:w w:val="105"/>
          <w:sz w:val="22"/>
        </w:rPr>
        <w:t> </w:t>
      </w:r>
      <w:r>
        <w:rPr>
          <w:w w:val="105"/>
          <w:sz w:val="22"/>
        </w:rPr>
        <w:t>contratto;</w:t>
      </w:r>
    </w:p>
    <w:p>
      <w:pPr>
        <w:pStyle w:val="ListParagraph"/>
        <w:numPr>
          <w:ilvl w:val="0"/>
          <w:numId w:val="14"/>
        </w:numPr>
        <w:tabs>
          <w:tab w:pos="935" w:val="left" w:leader="none"/>
        </w:tabs>
        <w:spacing w:line="489" w:lineRule="auto" w:before="3" w:after="0"/>
        <w:ind w:left="934" w:right="2196" w:hanging="534"/>
        <w:jc w:val="both"/>
        <w:rPr>
          <w:sz w:val="22"/>
        </w:rPr>
      </w:pPr>
      <w:r>
        <w:rPr>
          <w:w w:val="105"/>
          <w:sz w:val="22"/>
        </w:rPr>
        <w:t>Gli amministratori hanno redatto il </w:t>
      </w:r>
      <w:r>
        <w:rPr>
          <w:i/>
          <w:w w:val="105"/>
          <w:sz w:val="22"/>
        </w:rPr>
        <w:t>business plan </w:t>
      </w:r>
      <w:r>
        <w:rPr>
          <w:w w:val="105"/>
          <w:sz w:val="22"/>
        </w:rPr>
        <w:t>2016/2020, prevedendo uno slittamento di circa 18 mesi rispetto al precedente piano;</w:t>
      </w:r>
    </w:p>
    <w:p>
      <w:pPr>
        <w:pStyle w:val="ListParagraph"/>
        <w:numPr>
          <w:ilvl w:val="0"/>
          <w:numId w:val="14"/>
        </w:numPr>
        <w:tabs>
          <w:tab w:pos="935" w:val="left" w:leader="none"/>
        </w:tabs>
        <w:spacing w:line="491" w:lineRule="auto" w:before="3" w:after="0"/>
        <w:ind w:left="934" w:right="2194" w:hanging="534"/>
        <w:jc w:val="both"/>
        <w:rPr>
          <w:sz w:val="22"/>
        </w:rPr>
      </w:pPr>
      <w:r>
        <w:rPr>
          <w:w w:val="105"/>
          <w:sz w:val="22"/>
        </w:rPr>
        <w:t>La Società ha rinunciato alla concessione di un contributo a fondo perduto della Regione Puglia con riferimento al progetto Moghi a causa del mancato ottenimento di autorizzazioni all’allestimento del centro ricerche la cui realizzazione è stata inizialmente prevista nel Comuni di Modugno (BA) ed è stata poi spostata in Piemonte; tali contributi erano stati approvati nel 2012 per </w:t>
      </w:r>
      <w:r>
        <w:rPr>
          <w:b/>
          <w:w w:val="105"/>
          <w:sz w:val="22"/>
        </w:rPr>
        <w:t>Euro/Mil. 13, 2 </w:t>
      </w:r>
      <w:r>
        <w:rPr>
          <w:w w:val="105"/>
          <w:sz w:val="22"/>
        </w:rPr>
        <w:t>e già incassati da Biochemtex per </w:t>
      </w:r>
      <w:r>
        <w:rPr>
          <w:b/>
          <w:w w:val="105"/>
          <w:sz w:val="22"/>
        </w:rPr>
        <w:t>Euro/Mil. 6,6 </w:t>
      </w:r>
      <w:r>
        <w:rPr>
          <w:w w:val="105"/>
          <w:sz w:val="22"/>
        </w:rPr>
        <w:t>(questi ultimi integralmente</w:t>
      </w:r>
      <w:r>
        <w:rPr>
          <w:spacing w:val="-24"/>
          <w:w w:val="105"/>
          <w:sz w:val="22"/>
        </w:rPr>
        <w:t> </w:t>
      </w:r>
      <w:r>
        <w:rPr>
          <w:w w:val="105"/>
          <w:sz w:val="22"/>
        </w:rPr>
        <w:t>restituiti</w:t>
      </w:r>
      <w:r>
        <w:rPr>
          <w:spacing w:val="-24"/>
          <w:w w:val="105"/>
          <w:sz w:val="22"/>
        </w:rPr>
        <w:t> </w:t>
      </w:r>
      <w:r>
        <w:rPr>
          <w:w w:val="105"/>
          <w:sz w:val="22"/>
        </w:rPr>
        <w:t>come</w:t>
      </w:r>
      <w:r>
        <w:rPr>
          <w:spacing w:val="-25"/>
          <w:w w:val="105"/>
          <w:sz w:val="22"/>
        </w:rPr>
        <w:t> </w:t>
      </w:r>
      <w:r>
        <w:rPr>
          <w:w w:val="105"/>
          <w:sz w:val="22"/>
        </w:rPr>
        <w:t>si</w:t>
      </w:r>
      <w:r>
        <w:rPr>
          <w:spacing w:val="-24"/>
          <w:w w:val="105"/>
          <w:sz w:val="22"/>
        </w:rPr>
        <w:t> </w:t>
      </w:r>
      <w:r>
        <w:rPr>
          <w:w w:val="105"/>
          <w:sz w:val="22"/>
        </w:rPr>
        <w:t>dirà);</w:t>
      </w:r>
    </w:p>
    <w:p>
      <w:pPr>
        <w:pStyle w:val="ListParagraph"/>
        <w:numPr>
          <w:ilvl w:val="0"/>
          <w:numId w:val="14"/>
        </w:numPr>
        <w:tabs>
          <w:tab w:pos="935" w:val="left" w:leader="none"/>
        </w:tabs>
        <w:spacing w:line="489" w:lineRule="auto" w:before="0" w:after="0"/>
        <w:ind w:left="934" w:right="2194" w:hanging="534"/>
        <w:jc w:val="both"/>
        <w:rPr>
          <w:sz w:val="22"/>
        </w:rPr>
      </w:pPr>
      <w:r>
        <w:rPr>
          <w:w w:val="105"/>
          <w:sz w:val="22"/>
        </w:rPr>
        <w:t>Nel corso dell’esercizio è stato sottoscritto un accordo transattivo “</w:t>
      </w:r>
      <w:r>
        <w:rPr>
          <w:i/>
          <w:w w:val="105"/>
          <w:sz w:val="22"/>
        </w:rPr>
        <w:t>Settlement Agreement</w:t>
      </w:r>
      <w:r>
        <w:rPr>
          <w:w w:val="105"/>
          <w:sz w:val="22"/>
        </w:rPr>
        <w:t>” con la controllata Beta Renewables e l’azionista di quest’ultima, Novozymes, con cui Biochemtex si è impegnata a cedere gratuitamente a quest’ultima, entro il 31/12/2016, un numero di</w:t>
      </w:r>
      <w:r>
        <w:rPr>
          <w:spacing w:val="-15"/>
          <w:w w:val="105"/>
          <w:sz w:val="22"/>
        </w:rPr>
        <w:t> </w:t>
      </w:r>
      <w:r>
        <w:rPr>
          <w:w w:val="105"/>
          <w:sz w:val="22"/>
        </w:rPr>
        <w:t>azioni</w:t>
      </w:r>
      <w:r>
        <w:rPr>
          <w:spacing w:val="-15"/>
          <w:w w:val="105"/>
          <w:sz w:val="22"/>
        </w:rPr>
        <w:t> </w:t>
      </w:r>
      <w:r>
        <w:rPr>
          <w:w w:val="105"/>
          <w:sz w:val="22"/>
        </w:rPr>
        <w:t>pari</w:t>
      </w:r>
      <w:r>
        <w:rPr>
          <w:spacing w:val="-13"/>
          <w:w w:val="105"/>
          <w:sz w:val="22"/>
        </w:rPr>
        <w:t> </w:t>
      </w:r>
      <w:r>
        <w:rPr>
          <w:w w:val="105"/>
          <w:sz w:val="22"/>
        </w:rPr>
        <w:t>al</w:t>
      </w:r>
      <w:r>
        <w:rPr>
          <w:spacing w:val="-15"/>
          <w:w w:val="105"/>
          <w:sz w:val="22"/>
        </w:rPr>
        <w:t> </w:t>
      </w:r>
      <w:r>
        <w:rPr>
          <w:w w:val="105"/>
          <w:sz w:val="22"/>
        </w:rPr>
        <w:t>5%</w:t>
      </w:r>
      <w:r>
        <w:rPr>
          <w:spacing w:val="-15"/>
          <w:w w:val="105"/>
          <w:sz w:val="22"/>
        </w:rPr>
        <w:t> </w:t>
      </w:r>
      <w:r>
        <w:rPr>
          <w:w w:val="105"/>
          <w:sz w:val="22"/>
        </w:rPr>
        <w:t>del</w:t>
      </w:r>
      <w:r>
        <w:rPr>
          <w:spacing w:val="-15"/>
          <w:w w:val="105"/>
          <w:sz w:val="22"/>
        </w:rPr>
        <w:t> </w:t>
      </w:r>
      <w:r>
        <w:rPr>
          <w:w w:val="105"/>
          <w:sz w:val="22"/>
        </w:rPr>
        <w:t>capitale</w:t>
      </w:r>
      <w:r>
        <w:rPr>
          <w:spacing w:val="-16"/>
          <w:w w:val="105"/>
          <w:sz w:val="22"/>
        </w:rPr>
        <w:t> </w:t>
      </w:r>
      <w:r>
        <w:rPr>
          <w:w w:val="105"/>
          <w:sz w:val="22"/>
        </w:rPr>
        <w:t>sociale</w:t>
      </w:r>
      <w:r>
        <w:rPr>
          <w:spacing w:val="-16"/>
          <w:w w:val="105"/>
          <w:sz w:val="22"/>
        </w:rPr>
        <w:t> </w:t>
      </w:r>
      <w:r>
        <w:rPr>
          <w:w w:val="105"/>
          <w:sz w:val="22"/>
        </w:rPr>
        <w:t>di</w:t>
      </w:r>
      <w:r>
        <w:rPr>
          <w:spacing w:val="-15"/>
          <w:w w:val="105"/>
          <w:sz w:val="22"/>
        </w:rPr>
        <w:t> </w:t>
      </w:r>
      <w:r>
        <w:rPr>
          <w:w w:val="105"/>
          <w:sz w:val="22"/>
        </w:rPr>
        <w:t>Beta</w:t>
      </w:r>
      <w:r>
        <w:rPr>
          <w:spacing w:val="-13"/>
          <w:w w:val="105"/>
          <w:sz w:val="22"/>
        </w:rPr>
        <w:t> </w:t>
      </w:r>
      <w:r>
        <w:rPr>
          <w:w w:val="105"/>
          <w:sz w:val="22"/>
        </w:rPr>
        <w:t>Renewables</w:t>
      </w:r>
      <w:r>
        <w:rPr>
          <w:spacing w:val="-16"/>
          <w:w w:val="105"/>
          <w:sz w:val="22"/>
        </w:rPr>
        <w:t> </w:t>
      </w:r>
      <w:r>
        <w:rPr>
          <w:w w:val="105"/>
          <w:sz w:val="22"/>
        </w:rPr>
        <w:t>da</w:t>
      </w:r>
      <w:r>
        <w:rPr>
          <w:spacing w:val="-16"/>
          <w:w w:val="105"/>
          <w:sz w:val="22"/>
        </w:rPr>
        <w:t> </w:t>
      </w:r>
      <w:r>
        <w:rPr>
          <w:w w:val="105"/>
          <w:sz w:val="22"/>
        </w:rPr>
        <w:t>integrare</w:t>
      </w:r>
    </w:p>
    <w:p>
      <w:pPr>
        <w:spacing w:after="0" w:line="489" w:lineRule="auto"/>
        <w:jc w:val="both"/>
        <w:rPr>
          <w:sz w:val="22"/>
        </w:rPr>
        <w:sectPr>
          <w:pgSz w:w="12240" w:h="15840"/>
          <w:pgMar w:header="0" w:footer="790" w:top="1500" w:bottom="980" w:left="1720" w:right="1200"/>
        </w:sectPr>
      </w:pPr>
    </w:p>
    <w:p>
      <w:pPr>
        <w:pStyle w:val="BodyText"/>
        <w:spacing w:line="491" w:lineRule="auto" w:before="105"/>
        <w:ind w:left="934" w:right="2195"/>
        <w:jc w:val="both"/>
      </w:pPr>
      <w:r>
        <w:rPr>
          <w:w w:val="105"/>
        </w:rPr>
        <w:t>fino ad un massimo di </w:t>
      </w:r>
      <w:r>
        <w:rPr>
          <w:b/>
          <w:w w:val="105"/>
        </w:rPr>
        <w:t>Euro/Mil. 20</w:t>
      </w:r>
      <w:r>
        <w:rPr>
          <w:w w:val="105"/>
        </w:rPr>
        <w:t>, al verificarsi di specifici eventi futuri (tra cui esiti test di </w:t>
      </w:r>
      <w:r>
        <w:rPr>
          <w:i/>
          <w:w w:val="105"/>
        </w:rPr>
        <w:t>performance </w:t>
      </w:r>
      <w:r>
        <w:rPr>
          <w:w w:val="105"/>
        </w:rPr>
        <w:t>nell’impianto di Crescentino). A fronte di tale pattuizione, la Società effettuato un accantonamento a Fondo</w:t>
      </w:r>
      <w:r>
        <w:rPr>
          <w:spacing w:val="-9"/>
          <w:w w:val="105"/>
        </w:rPr>
        <w:t> </w:t>
      </w:r>
      <w:r>
        <w:rPr>
          <w:w w:val="105"/>
        </w:rPr>
        <w:t>Rischi</w:t>
      </w:r>
      <w:r>
        <w:rPr>
          <w:spacing w:val="-8"/>
          <w:w w:val="105"/>
        </w:rPr>
        <w:t> </w:t>
      </w:r>
      <w:r>
        <w:rPr>
          <w:w w:val="105"/>
        </w:rPr>
        <w:t>per</w:t>
      </w:r>
      <w:r>
        <w:rPr>
          <w:spacing w:val="-8"/>
          <w:w w:val="105"/>
        </w:rPr>
        <w:t> </w:t>
      </w:r>
      <w:r>
        <w:rPr>
          <w:w w:val="105"/>
        </w:rPr>
        <w:t>Euro/Mil.</w:t>
      </w:r>
      <w:r>
        <w:rPr>
          <w:spacing w:val="-9"/>
          <w:w w:val="105"/>
        </w:rPr>
        <w:t> </w:t>
      </w:r>
      <w:r>
        <w:rPr>
          <w:w w:val="105"/>
        </w:rPr>
        <w:t>0,3</w:t>
      </w:r>
      <w:r>
        <w:rPr>
          <w:spacing w:val="-9"/>
          <w:w w:val="105"/>
        </w:rPr>
        <w:t> </w:t>
      </w:r>
      <w:r>
        <w:rPr>
          <w:w w:val="105"/>
        </w:rPr>
        <w:t>pari</w:t>
      </w:r>
      <w:r>
        <w:rPr>
          <w:spacing w:val="-9"/>
          <w:w w:val="105"/>
        </w:rPr>
        <w:t> </w:t>
      </w:r>
      <w:r>
        <w:rPr>
          <w:w w:val="105"/>
        </w:rPr>
        <w:t>appunto</w:t>
      </w:r>
      <w:r>
        <w:rPr>
          <w:spacing w:val="-7"/>
          <w:w w:val="105"/>
        </w:rPr>
        <w:t> </w:t>
      </w:r>
      <w:r>
        <w:rPr>
          <w:w w:val="105"/>
        </w:rPr>
        <w:t>al</w:t>
      </w:r>
      <w:r>
        <w:rPr>
          <w:spacing w:val="-8"/>
          <w:w w:val="105"/>
        </w:rPr>
        <w:t> </w:t>
      </w:r>
      <w:r>
        <w:rPr>
          <w:w w:val="105"/>
        </w:rPr>
        <w:t>valore</w:t>
      </w:r>
      <w:r>
        <w:rPr>
          <w:spacing w:val="-8"/>
          <w:w w:val="105"/>
        </w:rPr>
        <w:t> </w:t>
      </w:r>
      <w:r>
        <w:rPr>
          <w:w w:val="105"/>
        </w:rPr>
        <w:t>di</w:t>
      </w:r>
      <w:r>
        <w:rPr>
          <w:spacing w:val="-8"/>
          <w:w w:val="105"/>
        </w:rPr>
        <w:t> </w:t>
      </w:r>
      <w:r>
        <w:rPr>
          <w:w w:val="105"/>
        </w:rPr>
        <w:t>libro</w:t>
      </w:r>
      <w:r>
        <w:rPr>
          <w:spacing w:val="-9"/>
          <w:w w:val="105"/>
        </w:rPr>
        <w:t> </w:t>
      </w:r>
      <w:r>
        <w:rPr>
          <w:w w:val="105"/>
        </w:rPr>
        <w:t>del</w:t>
      </w:r>
      <w:r>
        <w:rPr>
          <w:spacing w:val="-8"/>
          <w:w w:val="105"/>
        </w:rPr>
        <w:t> </w:t>
      </w:r>
      <w:r>
        <w:rPr>
          <w:w w:val="105"/>
        </w:rPr>
        <w:t>5% del</w:t>
      </w:r>
      <w:r>
        <w:rPr>
          <w:spacing w:val="-12"/>
          <w:w w:val="105"/>
        </w:rPr>
        <w:t> </w:t>
      </w:r>
      <w:r>
        <w:rPr>
          <w:w w:val="105"/>
        </w:rPr>
        <w:t>capitale.</w:t>
      </w:r>
      <w:r>
        <w:rPr>
          <w:spacing w:val="-11"/>
          <w:w w:val="105"/>
        </w:rPr>
        <w:t> </w:t>
      </w:r>
      <w:r>
        <w:rPr>
          <w:w w:val="105"/>
        </w:rPr>
        <w:t>L’adempimento</w:t>
      </w:r>
      <w:r>
        <w:rPr>
          <w:spacing w:val="-12"/>
          <w:w w:val="105"/>
        </w:rPr>
        <w:t> </w:t>
      </w:r>
      <w:r>
        <w:rPr>
          <w:w w:val="105"/>
        </w:rPr>
        <w:t>di</w:t>
      </w:r>
      <w:r>
        <w:rPr>
          <w:spacing w:val="-11"/>
          <w:w w:val="105"/>
        </w:rPr>
        <w:t> </w:t>
      </w:r>
      <w:r>
        <w:rPr>
          <w:w w:val="105"/>
        </w:rPr>
        <w:t>tali</w:t>
      </w:r>
      <w:r>
        <w:rPr>
          <w:spacing w:val="-12"/>
          <w:w w:val="105"/>
        </w:rPr>
        <w:t> </w:t>
      </w:r>
      <w:r>
        <w:rPr>
          <w:w w:val="105"/>
        </w:rPr>
        <w:t>obbligazioni</w:t>
      </w:r>
      <w:r>
        <w:rPr>
          <w:spacing w:val="-10"/>
          <w:w w:val="105"/>
        </w:rPr>
        <w:t> </w:t>
      </w:r>
      <w:r>
        <w:rPr>
          <w:w w:val="105"/>
        </w:rPr>
        <w:t>era</w:t>
      </w:r>
      <w:r>
        <w:rPr>
          <w:spacing w:val="-11"/>
          <w:w w:val="105"/>
        </w:rPr>
        <w:t> </w:t>
      </w:r>
      <w:r>
        <w:rPr>
          <w:w w:val="105"/>
        </w:rPr>
        <w:t>garantito</w:t>
      </w:r>
      <w:r>
        <w:rPr>
          <w:spacing w:val="-9"/>
          <w:w w:val="105"/>
        </w:rPr>
        <w:t> </w:t>
      </w:r>
      <w:r>
        <w:rPr>
          <w:w w:val="105"/>
        </w:rPr>
        <w:t>da</w:t>
      </w:r>
      <w:r>
        <w:rPr>
          <w:spacing w:val="-11"/>
          <w:w w:val="105"/>
        </w:rPr>
        <w:t> </w:t>
      </w:r>
      <w:r>
        <w:rPr>
          <w:w w:val="105"/>
        </w:rPr>
        <w:t>M&amp;G Finanziaria</w:t>
      </w:r>
      <w:r>
        <w:rPr>
          <w:spacing w:val="-26"/>
          <w:w w:val="105"/>
        </w:rPr>
        <w:t> </w:t>
      </w:r>
      <w:r>
        <w:rPr>
          <w:w w:val="105"/>
        </w:rPr>
        <w:t>sino</w:t>
      </w:r>
      <w:r>
        <w:rPr>
          <w:spacing w:val="-24"/>
          <w:w w:val="105"/>
        </w:rPr>
        <w:t> </w:t>
      </w:r>
      <w:r>
        <w:rPr>
          <w:w w:val="105"/>
        </w:rPr>
        <w:t>all’ammontare</w:t>
      </w:r>
      <w:r>
        <w:rPr>
          <w:spacing w:val="-24"/>
          <w:w w:val="105"/>
        </w:rPr>
        <w:t> </w:t>
      </w:r>
      <w:r>
        <w:rPr>
          <w:w w:val="105"/>
        </w:rPr>
        <w:t>massimo</w:t>
      </w:r>
      <w:r>
        <w:rPr>
          <w:spacing w:val="-24"/>
          <w:w w:val="105"/>
        </w:rPr>
        <w:t> </w:t>
      </w:r>
      <w:r>
        <w:rPr>
          <w:w w:val="105"/>
        </w:rPr>
        <w:t>di</w:t>
      </w:r>
      <w:r>
        <w:rPr>
          <w:spacing w:val="-24"/>
          <w:w w:val="105"/>
        </w:rPr>
        <w:t> </w:t>
      </w:r>
      <w:r>
        <w:rPr>
          <w:w w:val="105"/>
        </w:rPr>
        <w:t>Euro/Mil.</w:t>
      </w:r>
      <w:r>
        <w:rPr>
          <w:spacing w:val="-23"/>
          <w:w w:val="105"/>
        </w:rPr>
        <w:t> </w:t>
      </w:r>
      <w:r>
        <w:rPr>
          <w:w w:val="105"/>
        </w:rPr>
        <w:t>26;</w:t>
      </w:r>
    </w:p>
    <w:p>
      <w:pPr>
        <w:pStyle w:val="ListParagraph"/>
        <w:numPr>
          <w:ilvl w:val="0"/>
          <w:numId w:val="14"/>
        </w:numPr>
        <w:tabs>
          <w:tab w:pos="935" w:val="left" w:leader="none"/>
        </w:tabs>
        <w:spacing w:line="489" w:lineRule="auto" w:before="0" w:after="0"/>
        <w:ind w:left="934" w:right="2196" w:hanging="534"/>
        <w:jc w:val="both"/>
        <w:rPr>
          <w:sz w:val="22"/>
        </w:rPr>
      </w:pPr>
      <w:r>
        <w:rPr>
          <w:w w:val="105"/>
          <w:sz w:val="22"/>
        </w:rPr>
        <w:t>Nel giugno 2015 la Società cede a M&amp;G Logistics &amp; Engineering Co. la partecipazione detenuta in Carolina Biofuels Holding per un corrispettivo</w:t>
      </w:r>
      <w:r>
        <w:rPr>
          <w:spacing w:val="-24"/>
          <w:w w:val="105"/>
          <w:sz w:val="22"/>
        </w:rPr>
        <w:t> </w:t>
      </w:r>
      <w:r>
        <w:rPr>
          <w:w w:val="105"/>
          <w:sz w:val="22"/>
        </w:rPr>
        <w:t>pari</w:t>
      </w:r>
      <w:r>
        <w:rPr>
          <w:spacing w:val="-23"/>
          <w:w w:val="105"/>
          <w:sz w:val="22"/>
        </w:rPr>
        <w:t> </w:t>
      </w:r>
      <w:r>
        <w:rPr>
          <w:w w:val="105"/>
          <w:sz w:val="22"/>
        </w:rPr>
        <w:t>ad</w:t>
      </w:r>
      <w:r>
        <w:rPr>
          <w:spacing w:val="-24"/>
          <w:w w:val="105"/>
          <w:sz w:val="22"/>
        </w:rPr>
        <w:t> </w:t>
      </w:r>
      <w:r>
        <w:rPr>
          <w:w w:val="105"/>
          <w:sz w:val="22"/>
        </w:rPr>
        <w:t>USD/Mil.</w:t>
      </w:r>
      <w:r>
        <w:rPr>
          <w:spacing w:val="-24"/>
          <w:w w:val="105"/>
          <w:sz w:val="22"/>
        </w:rPr>
        <w:t> </w:t>
      </w:r>
      <w:r>
        <w:rPr>
          <w:w w:val="105"/>
          <w:sz w:val="22"/>
        </w:rPr>
        <w:t>1,4;</w:t>
      </w:r>
    </w:p>
    <w:p>
      <w:pPr>
        <w:pStyle w:val="ListParagraph"/>
        <w:numPr>
          <w:ilvl w:val="0"/>
          <w:numId w:val="14"/>
        </w:numPr>
        <w:tabs>
          <w:tab w:pos="935" w:val="left" w:leader="none"/>
        </w:tabs>
        <w:spacing w:line="489" w:lineRule="auto" w:before="3" w:after="0"/>
        <w:ind w:left="934" w:right="2197" w:hanging="534"/>
        <w:jc w:val="both"/>
        <w:rPr>
          <w:sz w:val="22"/>
        </w:rPr>
      </w:pPr>
      <w:r>
        <w:rPr>
          <w:w w:val="105"/>
          <w:sz w:val="22"/>
        </w:rPr>
        <w:t>Con</w:t>
      </w:r>
      <w:r>
        <w:rPr>
          <w:spacing w:val="-12"/>
          <w:w w:val="105"/>
          <w:sz w:val="22"/>
        </w:rPr>
        <w:t> </w:t>
      </w:r>
      <w:r>
        <w:rPr>
          <w:w w:val="105"/>
          <w:sz w:val="22"/>
        </w:rPr>
        <w:t>riferimento</w:t>
      </w:r>
      <w:r>
        <w:rPr>
          <w:spacing w:val="-11"/>
          <w:w w:val="105"/>
          <w:sz w:val="22"/>
        </w:rPr>
        <w:t> </w:t>
      </w:r>
      <w:r>
        <w:rPr>
          <w:w w:val="105"/>
          <w:sz w:val="22"/>
        </w:rPr>
        <w:t>al</w:t>
      </w:r>
      <w:r>
        <w:rPr>
          <w:spacing w:val="-11"/>
          <w:w w:val="105"/>
          <w:sz w:val="22"/>
        </w:rPr>
        <w:t> </w:t>
      </w:r>
      <w:r>
        <w:rPr>
          <w:w w:val="105"/>
          <w:sz w:val="22"/>
        </w:rPr>
        <w:t>bilancio</w:t>
      </w:r>
      <w:r>
        <w:rPr>
          <w:spacing w:val="-11"/>
          <w:w w:val="105"/>
          <w:sz w:val="22"/>
        </w:rPr>
        <w:t> </w:t>
      </w:r>
      <w:r>
        <w:rPr>
          <w:w w:val="105"/>
          <w:sz w:val="22"/>
        </w:rPr>
        <w:t>al</w:t>
      </w:r>
      <w:r>
        <w:rPr>
          <w:spacing w:val="-11"/>
          <w:w w:val="105"/>
          <w:sz w:val="22"/>
        </w:rPr>
        <w:t> </w:t>
      </w:r>
      <w:r>
        <w:rPr>
          <w:w w:val="105"/>
          <w:sz w:val="22"/>
        </w:rPr>
        <w:t>31</w:t>
      </w:r>
      <w:r>
        <w:rPr>
          <w:spacing w:val="-11"/>
          <w:w w:val="105"/>
          <w:sz w:val="22"/>
        </w:rPr>
        <w:t> </w:t>
      </w:r>
      <w:r>
        <w:rPr>
          <w:w w:val="105"/>
          <w:sz w:val="22"/>
        </w:rPr>
        <w:t>dicembre</w:t>
      </w:r>
      <w:r>
        <w:rPr>
          <w:spacing w:val="-11"/>
          <w:w w:val="105"/>
          <w:sz w:val="22"/>
        </w:rPr>
        <w:t> </w:t>
      </w:r>
      <w:r>
        <w:rPr>
          <w:w w:val="105"/>
          <w:sz w:val="22"/>
        </w:rPr>
        <w:t>2015,</w:t>
      </w:r>
      <w:r>
        <w:rPr>
          <w:spacing w:val="-11"/>
          <w:w w:val="105"/>
          <w:sz w:val="22"/>
        </w:rPr>
        <w:t> </w:t>
      </w:r>
      <w:r>
        <w:rPr>
          <w:w w:val="105"/>
          <w:sz w:val="22"/>
        </w:rPr>
        <w:t>la</w:t>
      </w:r>
      <w:r>
        <w:rPr>
          <w:spacing w:val="-12"/>
          <w:w w:val="105"/>
          <w:sz w:val="22"/>
        </w:rPr>
        <w:t> </w:t>
      </w:r>
      <w:r>
        <w:rPr>
          <w:w w:val="105"/>
          <w:sz w:val="22"/>
        </w:rPr>
        <w:t>società</w:t>
      </w:r>
      <w:r>
        <w:rPr>
          <w:spacing w:val="-12"/>
          <w:w w:val="105"/>
          <w:sz w:val="22"/>
        </w:rPr>
        <w:t> </w:t>
      </w:r>
      <w:r>
        <w:rPr>
          <w:w w:val="105"/>
          <w:sz w:val="22"/>
        </w:rPr>
        <w:t>di</w:t>
      </w:r>
      <w:r>
        <w:rPr>
          <w:spacing w:val="-11"/>
          <w:w w:val="105"/>
          <w:sz w:val="22"/>
        </w:rPr>
        <w:t> </w:t>
      </w:r>
      <w:r>
        <w:rPr>
          <w:w w:val="105"/>
          <w:sz w:val="22"/>
        </w:rPr>
        <w:t>revisione (E&amp;Y), </w:t>
      </w:r>
      <w:r>
        <w:rPr>
          <w:w w:val="105"/>
          <w:sz w:val="22"/>
          <w:u w:val="single"/>
        </w:rPr>
        <w:t>a titolo di richiamo d’informativa</w:t>
      </w:r>
      <w:r>
        <w:rPr>
          <w:w w:val="105"/>
          <w:sz w:val="22"/>
        </w:rPr>
        <w:t>, segnala la significatività dei rapporti</w:t>
      </w:r>
      <w:r>
        <w:rPr>
          <w:spacing w:val="32"/>
          <w:w w:val="105"/>
          <w:sz w:val="22"/>
        </w:rPr>
        <w:t> </w:t>
      </w:r>
      <w:r>
        <w:rPr>
          <w:w w:val="105"/>
          <w:sz w:val="22"/>
        </w:rPr>
        <w:t>con</w:t>
      </w:r>
      <w:r>
        <w:rPr>
          <w:spacing w:val="29"/>
          <w:w w:val="105"/>
          <w:sz w:val="22"/>
        </w:rPr>
        <w:t> </w:t>
      </w:r>
      <w:r>
        <w:rPr>
          <w:w w:val="105"/>
          <w:sz w:val="22"/>
        </w:rPr>
        <w:t>le</w:t>
      </w:r>
      <w:r>
        <w:rPr>
          <w:spacing w:val="30"/>
          <w:w w:val="105"/>
          <w:sz w:val="22"/>
        </w:rPr>
        <w:t> </w:t>
      </w:r>
      <w:r>
        <w:rPr>
          <w:w w:val="105"/>
          <w:sz w:val="22"/>
        </w:rPr>
        <w:t>società</w:t>
      </w:r>
      <w:r>
        <w:rPr>
          <w:spacing w:val="31"/>
          <w:w w:val="105"/>
          <w:sz w:val="22"/>
        </w:rPr>
        <w:t> </w:t>
      </w:r>
      <w:r>
        <w:rPr>
          <w:w w:val="105"/>
          <w:sz w:val="22"/>
        </w:rPr>
        <w:t>del</w:t>
      </w:r>
      <w:r>
        <w:rPr>
          <w:spacing w:val="31"/>
          <w:w w:val="105"/>
          <w:sz w:val="22"/>
        </w:rPr>
        <w:t> </w:t>
      </w:r>
      <w:r>
        <w:rPr>
          <w:w w:val="105"/>
          <w:sz w:val="22"/>
        </w:rPr>
        <w:t>Gruppo</w:t>
      </w:r>
      <w:r>
        <w:rPr>
          <w:spacing w:val="30"/>
          <w:w w:val="105"/>
          <w:sz w:val="22"/>
        </w:rPr>
        <w:t> </w:t>
      </w:r>
      <w:r>
        <w:rPr>
          <w:w w:val="105"/>
          <w:sz w:val="22"/>
        </w:rPr>
        <w:t>e</w:t>
      </w:r>
      <w:r>
        <w:rPr>
          <w:spacing w:val="30"/>
          <w:w w:val="105"/>
          <w:sz w:val="22"/>
        </w:rPr>
        <w:t> </w:t>
      </w:r>
      <w:r>
        <w:rPr>
          <w:w w:val="105"/>
          <w:sz w:val="22"/>
          <w:u w:val="single"/>
        </w:rPr>
        <w:t>le</w:t>
      </w:r>
      <w:r>
        <w:rPr>
          <w:spacing w:val="30"/>
          <w:w w:val="105"/>
          <w:sz w:val="22"/>
          <w:u w:val="single"/>
        </w:rPr>
        <w:t> </w:t>
      </w:r>
      <w:r>
        <w:rPr>
          <w:w w:val="105"/>
          <w:sz w:val="22"/>
          <w:u w:val="single"/>
        </w:rPr>
        <w:t>valutazioni</w:t>
      </w:r>
      <w:r>
        <w:rPr>
          <w:spacing w:val="29"/>
          <w:w w:val="105"/>
          <w:sz w:val="22"/>
          <w:u w:val="single"/>
        </w:rPr>
        <w:t> </w:t>
      </w:r>
      <w:r>
        <w:rPr>
          <w:w w:val="105"/>
          <w:sz w:val="22"/>
          <w:u w:val="single"/>
        </w:rPr>
        <w:t>effettuate</w:t>
      </w:r>
      <w:r>
        <w:rPr>
          <w:spacing w:val="29"/>
          <w:w w:val="105"/>
          <w:sz w:val="22"/>
          <w:u w:val="single"/>
        </w:rPr>
        <w:t> </w:t>
      </w:r>
      <w:r>
        <w:rPr>
          <w:w w:val="105"/>
          <w:sz w:val="22"/>
          <w:u w:val="single"/>
        </w:rPr>
        <w:t>dagli</w:t>
      </w:r>
    </w:p>
    <w:p>
      <w:pPr>
        <w:pStyle w:val="BodyText"/>
        <w:spacing w:line="491" w:lineRule="auto" w:before="4"/>
        <w:ind w:left="934" w:right="2105"/>
      </w:pPr>
      <w:r>
        <w:rPr>
          <w:w w:val="105"/>
          <w:u w:val="single"/>
        </w:rPr>
        <w:t>amministratori sulla recuperabilità dei valori delle partecipazioni IBP e IBP Energia</w:t>
      </w:r>
      <w:r>
        <w:rPr>
          <w:w w:val="105"/>
        </w:rPr>
        <w:t>.</w:t>
      </w:r>
    </w:p>
    <w:p>
      <w:pPr>
        <w:pStyle w:val="Heading1"/>
        <w:numPr>
          <w:ilvl w:val="2"/>
          <w:numId w:val="13"/>
        </w:numPr>
        <w:tabs>
          <w:tab w:pos="1067" w:val="left" w:leader="none"/>
          <w:tab w:pos="1068" w:val="left" w:leader="none"/>
        </w:tabs>
        <w:spacing w:line="253" w:lineRule="exact" w:before="0" w:after="0"/>
        <w:ind w:left="1067" w:right="0" w:hanging="667"/>
        <w:jc w:val="left"/>
      </w:pPr>
      <w:bookmarkStart w:name="_TOC_250037" w:id="15"/>
      <w:r>
        <w:rPr>
          <w:w w:val="95"/>
        </w:rPr>
        <w:t>Esercizio</w:t>
      </w:r>
      <w:r>
        <w:rPr>
          <w:spacing w:val="-17"/>
          <w:w w:val="95"/>
        </w:rPr>
        <w:t> </w:t>
      </w:r>
      <w:bookmarkEnd w:id="15"/>
      <w:r>
        <w:rPr>
          <w:w w:val="95"/>
        </w:rPr>
        <w:t>2016</w:t>
      </w:r>
    </w:p>
    <w:p>
      <w:pPr>
        <w:pStyle w:val="BodyText"/>
        <w:spacing w:before="7"/>
        <w:rPr>
          <w:b/>
          <w:i/>
        </w:rPr>
      </w:pPr>
    </w:p>
    <w:p>
      <w:pPr>
        <w:pStyle w:val="ListParagraph"/>
        <w:numPr>
          <w:ilvl w:val="0"/>
          <w:numId w:val="14"/>
        </w:numPr>
        <w:tabs>
          <w:tab w:pos="935" w:val="left" w:leader="none"/>
        </w:tabs>
        <w:spacing w:line="489" w:lineRule="auto" w:before="0" w:after="0"/>
        <w:ind w:left="934" w:right="2195" w:hanging="534"/>
        <w:jc w:val="both"/>
        <w:rPr>
          <w:sz w:val="22"/>
        </w:rPr>
      </w:pPr>
      <w:r>
        <w:rPr>
          <w:w w:val="105"/>
          <w:sz w:val="22"/>
        </w:rPr>
        <w:t>Nel corso del primo semestre è stato sottoscritto un nuovo contratto per la costruzione di un nuovo impianto di PET in Cina ed un</w:t>
      </w:r>
      <w:r>
        <w:rPr>
          <w:spacing w:val="-29"/>
          <w:w w:val="105"/>
          <w:sz w:val="22"/>
        </w:rPr>
        <w:t> </w:t>
      </w:r>
      <w:r>
        <w:rPr>
          <w:w w:val="105"/>
          <w:sz w:val="22"/>
        </w:rPr>
        <w:t>nuovo contratto per la conversione di un impianto in West Virginia per il trattamento</w:t>
      </w:r>
      <w:r>
        <w:rPr>
          <w:spacing w:val="-22"/>
          <w:w w:val="105"/>
          <w:sz w:val="22"/>
        </w:rPr>
        <w:t> </w:t>
      </w:r>
      <w:r>
        <w:rPr>
          <w:w w:val="105"/>
          <w:sz w:val="22"/>
        </w:rPr>
        <w:t>di</w:t>
      </w:r>
      <w:r>
        <w:rPr>
          <w:spacing w:val="-21"/>
          <w:w w:val="105"/>
          <w:sz w:val="22"/>
        </w:rPr>
        <w:t> </w:t>
      </w:r>
      <w:r>
        <w:rPr>
          <w:w w:val="105"/>
          <w:sz w:val="22"/>
        </w:rPr>
        <w:t>rifiuti</w:t>
      </w:r>
      <w:r>
        <w:rPr>
          <w:spacing w:val="-21"/>
          <w:w w:val="105"/>
          <w:sz w:val="22"/>
        </w:rPr>
        <w:t> </w:t>
      </w:r>
      <w:r>
        <w:rPr>
          <w:w w:val="105"/>
          <w:sz w:val="22"/>
        </w:rPr>
        <w:t>solidi;</w:t>
      </w:r>
    </w:p>
    <w:p>
      <w:pPr>
        <w:pStyle w:val="ListParagraph"/>
        <w:numPr>
          <w:ilvl w:val="0"/>
          <w:numId w:val="14"/>
        </w:numPr>
        <w:tabs>
          <w:tab w:pos="935" w:val="left" w:leader="none"/>
        </w:tabs>
        <w:spacing w:line="489" w:lineRule="auto" w:before="2" w:after="0"/>
        <w:ind w:left="934" w:right="2197" w:hanging="534"/>
        <w:jc w:val="both"/>
        <w:rPr>
          <w:sz w:val="22"/>
        </w:rPr>
      </w:pPr>
      <w:r>
        <w:rPr>
          <w:w w:val="105"/>
          <w:sz w:val="22"/>
        </w:rPr>
        <w:t>E’ stato, altresì, ceduto ad IBP l’impianto di lavaggio e macinatura paglia</w:t>
      </w:r>
      <w:r>
        <w:rPr>
          <w:spacing w:val="-14"/>
          <w:w w:val="105"/>
          <w:sz w:val="22"/>
        </w:rPr>
        <w:t> </w:t>
      </w:r>
      <w:r>
        <w:rPr>
          <w:w w:val="105"/>
          <w:sz w:val="22"/>
        </w:rPr>
        <w:t>(c.d.</w:t>
      </w:r>
      <w:r>
        <w:rPr>
          <w:spacing w:val="-15"/>
          <w:w w:val="105"/>
          <w:sz w:val="22"/>
        </w:rPr>
        <w:t> </w:t>
      </w:r>
      <w:r>
        <w:rPr>
          <w:w w:val="105"/>
          <w:sz w:val="22"/>
        </w:rPr>
        <w:t>“</w:t>
      </w:r>
      <w:r>
        <w:rPr>
          <w:i/>
          <w:w w:val="105"/>
          <w:sz w:val="22"/>
        </w:rPr>
        <w:t>soaking</w:t>
      </w:r>
      <w:r>
        <w:rPr>
          <w:w w:val="105"/>
          <w:sz w:val="22"/>
        </w:rPr>
        <w:t>”)</w:t>
      </w:r>
      <w:r>
        <w:rPr>
          <w:spacing w:val="-14"/>
          <w:w w:val="105"/>
          <w:sz w:val="22"/>
        </w:rPr>
        <w:t> </w:t>
      </w:r>
      <w:r>
        <w:rPr>
          <w:w w:val="105"/>
          <w:sz w:val="22"/>
        </w:rPr>
        <w:t>che</w:t>
      </w:r>
      <w:r>
        <w:rPr>
          <w:spacing w:val="-15"/>
          <w:w w:val="105"/>
          <w:sz w:val="22"/>
        </w:rPr>
        <w:t> </w:t>
      </w:r>
      <w:r>
        <w:rPr>
          <w:w w:val="105"/>
          <w:sz w:val="22"/>
        </w:rPr>
        <w:t>ha</w:t>
      </w:r>
      <w:r>
        <w:rPr>
          <w:spacing w:val="-15"/>
          <w:w w:val="105"/>
          <w:sz w:val="22"/>
        </w:rPr>
        <w:t> </w:t>
      </w:r>
      <w:r>
        <w:rPr>
          <w:w w:val="105"/>
          <w:sz w:val="22"/>
        </w:rPr>
        <w:t>portato</w:t>
      </w:r>
      <w:r>
        <w:rPr>
          <w:spacing w:val="-14"/>
          <w:w w:val="105"/>
          <w:sz w:val="22"/>
        </w:rPr>
        <w:t> </w:t>
      </w:r>
      <w:r>
        <w:rPr>
          <w:w w:val="105"/>
          <w:sz w:val="22"/>
        </w:rPr>
        <w:t>alla</w:t>
      </w:r>
      <w:r>
        <w:rPr>
          <w:spacing w:val="-14"/>
          <w:w w:val="105"/>
          <w:sz w:val="22"/>
        </w:rPr>
        <w:t> </w:t>
      </w:r>
      <w:r>
        <w:rPr>
          <w:w w:val="105"/>
          <w:sz w:val="22"/>
        </w:rPr>
        <w:t>rilevazione</w:t>
      </w:r>
      <w:r>
        <w:rPr>
          <w:spacing w:val="-14"/>
          <w:w w:val="105"/>
          <w:sz w:val="22"/>
        </w:rPr>
        <w:t> </w:t>
      </w:r>
      <w:r>
        <w:rPr>
          <w:w w:val="105"/>
          <w:sz w:val="22"/>
        </w:rPr>
        <w:t>di</w:t>
      </w:r>
      <w:r>
        <w:rPr>
          <w:spacing w:val="-16"/>
          <w:w w:val="105"/>
          <w:sz w:val="22"/>
        </w:rPr>
        <w:t> </w:t>
      </w:r>
      <w:r>
        <w:rPr>
          <w:w w:val="105"/>
          <w:sz w:val="22"/>
        </w:rPr>
        <w:t>una</w:t>
      </w:r>
      <w:r>
        <w:rPr>
          <w:spacing w:val="-15"/>
          <w:w w:val="105"/>
          <w:sz w:val="22"/>
        </w:rPr>
        <w:t> </w:t>
      </w:r>
      <w:r>
        <w:rPr>
          <w:w w:val="105"/>
          <w:sz w:val="22"/>
        </w:rPr>
        <w:t>plusvalenza per</w:t>
      </w:r>
      <w:r>
        <w:rPr>
          <w:spacing w:val="-24"/>
          <w:w w:val="105"/>
          <w:sz w:val="22"/>
        </w:rPr>
        <w:t> </w:t>
      </w:r>
      <w:r>
        <w:rPr>
          <w:b/>
          <w:w w:val="105"/>
          <w:sz w:val="22"/>
        </w:rPr>
        <w:t>Euro/Mil.</w:t>
      </w:r>
      <w:r>
        <w:rPr>
          <w:b/>
          <w:spacing w:val="-24"/>
          <w:w w:val="105"/>
          <w:sz w:val="22"/>
        </w:rPr>
        <w:t> </w:t>
      </w:r>
      <w:r>
        <w:rPr>
          <w:b/>
          <w:w w:val="105"/>
          <w:sz w:val="22"/>
        </w:rPr>
        <w:t>1,4</w:t>
      </w:r>
      <w:r>
        <w:rPr>
          <w:w w:val="105"/>
          <w:sz w:val="22"/>
        </w:rPr>
        <w:t>;</w:t>
      </w:r>
    </w:p>
    <w:p>
      <w:pPr>
        <w:pStyle w:val="ListParagraph"/>
        <w:numPr>
          <w:ilvl w:val="0"/>
          <w:numId w:val="14"/>
        </w:numPr>
        <w:tabs>
          <w:tab w:pos="935" w:val="left" w:leader="none"/>
        </w:tabs>
        <w:spacing w:line="484" w:lineRule="auto" w:before="2" w:after="0"/>
        <w:ind w:left="934" w:right="2196" w:hanging="534"/>
        <w:jc w:val="both"/>
        <w:rPr>
          <w:sz w:val="22"/>
        </w:rPr>
      </w:pPr>
      <w:r>
        <w:rPr>
          <w:w w:val="105"/>
          <w:sz w:val="22"/>
        </w:rPr>
        <w:t>Nel mese di giugno 2016 è avvenuta la restituzione del contributo a fondo</w:t>
      </w:r>
      <w:r>
        <w:rPr>
          <w:spacing w:val="-14"/>
          <w:w w:val="105"/>
          <w:sz w:val="22"/>
        </w:rPr>
        <w:t> </w:t>
      </w:r>
      <w:r>
        <w:rPr>
          <w:w w:val="105"/>
          <w:sz w:val="22"/>
        </w:rPr>
        <w:t>perduto</w:t>
      </w:r>
      <w:r>
        <w:rPr>
          <w:spacing w:val="-13"/>
          <w:w w:val="105"/>
          <w:sz w:val="22"/>
        </w:rPr>
        <w:t> </w:t>
      </w:r>
      <w:r>
        <w:rPr>
          <w:w w:val="105"/>
          <w:sz w:val="22"/>
        </w:rPr>
        <w:t>ricevuto</w:t>
      </w:r>
      <w:r>
        <w:rPr>
          <w:spacing w:val="-12"/>
          <w:w w:val="105"/>
          <w:sz w:val="22"/>
        </w:rPr>
        <w:t> </w:t>
      </w:r>
      <w:r>
        <w:rPr>
          <w:w w:val="105"/>
          <w:sz w:val="22"/>
        </w:rPr>
        <w:t>dalla</w:t>
      </w:r>
      <w:r>
        <w:rPr>
          <w:spacing w:val="-13"/>
          <w:w w:val="105"/>
          <w:sz w:val="22"/>
        </w:rPr>
        <w:t> </w:t>
      </w:r>
      <w:r>
        <w:rPr>
          <w:w w:val="105"/>
          <w:sz w:val="22"/>
        </w:rPr>
        <w:t>Regione</w:t>
      </w:r>
      <w:r>
        <w:rPr>
          <w:spacing w:val="-12"/>
          <w:w w:val="105"/>
          <w:sz w:val="22"/>
        </w:rPr>
        <w:t> </w:t>
      </w:r>
      <w:r>
        <w:rPr>
          <w:w w:val="105"/>
          <w:sz w:val="22"/>
        </w:rPr>
        <w:t>Puglia.</w:t>
      </w:r>
      <w:r>
        <w:rPr>
          <w:spacing w:val="-13"/>
          <w:w w:val="105"/>
          <w:sz w:val="22"/>
        </w:rPr>
        <w:t> </w:t>
      </w:r>
      <w:r>
        <w:rPr>
          <w:w w:val="105"/>
          <w:sz w:val="22"/>
        </w:rPr>
        <w:t>Tale</w:t>
      </w:r>
      <w:r>
        <w:rPr>
          <w:spacing w:val="-13"/>
          <w:w w:val="105"/>
          <w:sz w:val="22"/>
        </w:rPr>
        <w:t> </w:t>
      </w:r>
      <w:r>
        <w:rPr>
          <w:w w:val="105"/>
          <w:sz w:val="22"/>
        </w:rPr>
        <w:t>restituzione</w:t>
      </w:r>
      <w:r>
        <w:rPr>
          <w:spacing w:val="-13"/>
          <w:w w:val="105"/>
          <w:sz w:val="22"/>
        </w:rPr>
        <w:t> </w:t>
      </w:r>
      <w:r>
        <w:rPr>
          <w:w w:val="105"/>
          <w:sz w:val="22"/>
        </w:rPr>
        <w:t>riduce</w:t>
      </w:r>
      <w:r>
        <w:rPr>
          <w:spacing w:val="-13"/>
          <w:w w:val="105"/>
          <w:sz w:val="22"/>
        </w:rPr>
        <w:t> </w:t>
      </w:r>
      <w:r>
        <w:rPr>
          <w:w w:val="105"/>
          <w:sz w:val="22"/>
        </w:rPr>
        <w:t>i</w:t>
      </w:r>
    </w:p>
    <w:p>
      <w:pPr>
        <w:spacing w:after="0" w:line="484" w:lineRule="auto"/>
        <w:jc w:val="both"/>
        <w:rPr>
          <w:sz w:val="22"/>
        </w:rPr>
        <w:sectPr>
          <w:pgSz w:w="12240" w:h="15840"/>
          <w:pgMar w:header="0" w:footer="790" w:top="1500" w:bottom="980" w:left="1720" w:right="1200"/>
        </w:sectPr>
      </w:pPr>
    </w:p>
    <w:p>
      <w:pPr>
        <w:pStyle w:val="BodyText"/>
        <w:spacing w:line="491" w:lineRule="auto" w:before="105"/>
        <w:ind w:left="934" w:right="2197"/>
        <w:jc w:val="both"/>
      </w:pPr>
      <w:r>
        <w:rPr>
          <w:w w:val="105"/>
        </w:rPr>
        <w:t>debiti iscritti a bilancio, per contributi ricevuti su progetti di ricerca non ancora conclusi, da </w:t>
      </w:r>
      <w:r>
        <w:rPr>
          <w:b/>
          <w:w w:val="105"/>
        </w:rPr>
        <w:t>Euro/Mil. 16,1 </w:t>
      </w:r>
      <w:r>
        <w:rPr>
          <w:w w:val="105"/>
        </w:rPr>
        <w:t>(al 31 dicembre 2015) ad </w:t>
      </w:r>
      <w:r>
        <w:rPr>
          <w:b/>
          <w:w w:val="105"/>
        </w:rPr>
        <w:t>Euro/Mil. 10,5 </w:t>
      </w:r>
      <w:r>
        <w:rPr>
          <w:w w:val="105"/>
        </w:rPr>
        <w:t>(al 31 dicembre 2016);</w:t>
      </w:r>
    </w:p>
    <w:p>
      <w:pPr>
        <w:pStyle w:val="ListParagraph"/>
        <w:numPr>
          <w:ilvl w:val="0"/>
          <w:numId w:val="14"/>
        </w:numPr>
        <w:tabs>
          <w:tab w:pos="935" w:val="left" w:leader="none"/>
        </w:tabs>
        <w:spacing w:line="489" w:lineRule="auto" w:before="0" w:after="0"/>
        <w:ind w:left="934" w:right="2197" w:hanging="534"/>
        <w:jc w:val="both"/>
        <w:rPr>
          <w:sz w:val="22"/>
        </w:rPr>
      </w:pPr>
      <w:r>
        <w:rPr>
          <w:w w:val="105"/>
          <w:sz w:val="22"/>
        </w:rPr>
        <w:t>In data 23 dicembre 2016 è stato sottoscritto un </w:t>
      </w:r>
      <w:r>
        <w:rPr>
          <w:i/>
          <w:w w:val="105"/>
          <w:sz w:val="22"/>
        </w:rPr>
        <w:t>Amendment </w:t>
      </w:r>
      <w:r>
        <w:rPr>
          <w:w w:val="105"/>
          <w:sz w:val="22"/>
        </w:rPr>
        <w:t>all’</w:t>
      </w:r>
      <w:r>
        <w:rPr>
          <w:i/>
          <w:w w:val="105"/>
          <w:sz w:val="22"/>
        </w:rPr>
        <w:t>Settlement Agreement </w:t>
      </w:r>
      <w:r>
        <w:rPr>
          <w:w w:val="105"/>
          <w:sz w:val="22"/>
        </w:rPr>
        <w:t>sottoscritto con Novozymes che rimanda al 2017 la definizione di un nuovo test di </w:t>
      </w:r>
      <w:r>
        <w:rPr>
          <w:i/>
          <w:w w:val="105"/>
          <w:sz w:val="22"/>
        </w:rPr>
        <w:t>performance </w:t>
      </w:r>
      <w:r>
        <w:rPr>
          <w:w w:val="105"/>
          <w:sz w:val="22"/>
        </w:rPr>
        <w:t>sull’impianto di Crescentino;</w:t>
      </w:r>
    </w:p>
    <w:p>
      <w:pPr>
        <w:pStyle w:val="ListParagraph"/>
        <w:numPr>
          <w:ilvl w:val="0"/>
          <w:numId w:val="14"/>
        </w:numPr>
        <w:tabs>
          <w:tab w:pos="935" w:val="left" w:leader="none"/>
        </w:tabs>
        <w:spacing w:line="489" w:lineRule="auto" w:before="3" w:after="0"/>
        <w:ind w:left="934" w:right="2195" w:hanging="534"/>
        <w:jc w:val="both"/>
        <w:rPr>
          <w:sz w:val="22"/>
        </w:rPr>
      </w:pPr>
      <w:r>
        <w:rPr>
          <w:w w:val="105"/>
          <w:sz w:val="22"/>
        </w:rPr>
        <w:t>Il</w:t>
      </w:r>
      <w:r>
        <w:rPr>
          <w:spacing w:val="-14"/>
          <w:w w:val="105"/>
          <w:sz w:val="22"/>
        </w:rPr>
        <w:t> </w:t>
      </w:r>
      <w:r>
        <w:rPr>
          <w:w w:val="105"/>
          <w:sz w:val="22"/>
        </w:rPr>
        <w:t>valore</w:t>
      </w:r>
      <w:r>
        <w:rPr>
          <w:spacing w:val="-14"/>
          <w:w w:val="105"/>
          <w:sz w:val="22"/>
        </w:rPr>
        <w:t> </w:t>
      </w:r>
      <w:r>
        <w:rPr>
          <w:w w:val="105"/>
          <w:sz w:val="22"/>
        </w:rPr>
        <w:t>della</w:t>
      </w:r>
      <w:r>
        <w:rPr>
          <w:spacing w:val="-14"/>
          <w:w w:val="105"/>
          <w:sz w:val="22"/>
        </w:rPr>
        <w:t> </w:t>
      </w:r>
      <w:r>
        <w:rPr>
          <w:w w:val="105"/>
          <w:sz w:val="22"/>
        </w:rPr>
        <w:t>partecipata</w:t>
      </w:r>
      <w:r>
        <w:rPr>
          <w:spacing w:val="-14"/>
          <w:w w:val="105"/>
          <w:sz w:val="22"/>
        </w:rPr>
        <w:t> </w:t>
      </w:r>
      <w:r>
        <w:rPr>
          <w:w w:val="105"/>
          <w:sz w:val="22"/>
        </w:rPr>
        <w:t>IBP</w:t>
      </w:r>
      <w:r>
        <w:rPr>
          <w:spacing w:val="-14"/>
          <w:w w:val="105"/>
          <w:sz w:val="22"/>
        </w:rPr>
        <w:t> </w:t>
      </w:r>
      <w:r>
        <w:rPr>
          <w:w w:val="105"/>
          <w:sz w:val="22"/>
        </w:rPr>
        <w:t>al</w:t>
      </w:r>
      <w:r>
        <w:rPr>
          <w:spacing w:val="-14"/>
          <w:w w:val="105"/>
          <w:sz w:val="22"/>
        </w:rPr>
        <w:t> </w:t>
      </w:r>
      <w:r>
        <w:rPr>
          <w:w w:val="105"/>
          <w:sz w:val="22"/>
        </w:rPr>
        <w:t>31</w:t>
      </w:r>
      <w:r>
        <w:rPr>
          <w:spacing w:val="-14"/>
          <w:w w:val="105"/>
          <w:sz w:val="22"/>
        </w:rPr>
        <w:t> </w:t>
      </w:r>
      <w:r>
        <w:rPr>
          <w:w w:val="105"/>
          <w:sz w:val="22"/>
        </w:rPr>
        <w:t>dicembre</w:t>
      </w:r>
      <w:r>
        <w:rPr>
          <w:spacing w:val="-14"/>
          <w:w w:val="105"/>
          <w:sz w:val="22"/>
        </w:rPr>
        <w:t> </w:t>
      </w:r>
      <w:r>
        <w:rPr>
          <w:w w:val="105"/>
          <w:sz w:val="22"/>
        </w:rPr>
        <w:t>2016</w:t>
      </w:r>
      <w:r>
        <w:rPr>
          <w:spacing w:val="-14"/>
          <w:w w:val="105"/>
          <w:sz w:val="22"/>
        </w:rPr>
        <w:t> </w:t>
      </w:r>
      <w:r>
        <w:rPr>
          <w:w w:val="105"/>
          <w:sz w:val="22"/>
        </w:rPr>
        <w:t>si</w:t>
      </w:r>
      <w:r>
        <w:rPr>
          <w:spacing w:val="-14"/>
          <w:w w:val="105"/>
          <w:sz w:val="22"/>
        </w:rPr>
        <w:t> </w:t>
      </w:r>
      <w:r>
        <w:rPr>
          <w:w w:val="105"/>
          <w:sz w:val="22"/>
        </w:rPr>
        <w:t>è</w:t>
      </w:r>
      <w:r>
        <w:rPr>
          <w:spacing w:val="-14"/>
          <w:w w:val="105"/>
          <w:sz w:val="22"/>
        </w:rPr>
        <w:t> </w:t>
      </w:r>
      <w:r>
        <w:rPr>
          <w:w w:val="105"/>
          <w:sz w:val="22"/>
        </w:rPr>
        <w:t>incrementato</w:t>
      </w:r>
      <w:r>
        <w:rPr>
          <w:spacing w:val="-14"/>
          <w:w w:val="105"/>
          <w:sz w:val="22"/>
        </w:rPr>
        <w:t> </w:t>
      </w:r>
      <w:r>
        <w:rPr>
          <w:w w:val="105"/>
          <w:sz w:val="22"/>
        </w:rPr>
        <w:t>di </w:t>
      </w:r>
      <w:r>
        <w:rPr>
          <w:b/>
          <w:w w:val="105"/>
          <w:sz w:val="22"/>
        </w:rPr>
        <w:t>Euro/Mil. 26,5</w:t>
      </w:r>
      <w:r>
        <w:rPr>
          <w:w w:val="105"/>
          <w:sz w:val="22"/>
        </w:rPr>
        <w:t>, di cui </w:t>
      </w:r>
      <w:r>
        <w:rPr>
          <w:b/>
          <w:w w:val="105"/>
          <w:sz w:val="22"/>
        </w:rPr>
        <w:t>Euro/Mil. 6,5 </w:t>
      </w:r>
      <w:r>
        <w:rPr>
          <w:w w:val="105"/>
          <w:sz w:val="22"/>
        </w:rPr>
        <w:t>versati a fronte di una ricapitalizzazione della controllata in relazione al Progetto SETHA, deliberata in data 14 dicembre, per complessivi Euro/Mil. 18 ed </w:t>
      </w:r>
      <w:r>
        <w:rPr>
          <w:b/>
          <w:w w:val="105"/>
          <w:sz w:val="22"/>
        </w:rPr>
        <w:t>Euro/Mil.</w:t>
      </w:r>
      <w:r>
        <w:rPr>
          <w:b/>
          <w:spacing w:val="-16"/>
          <w:w w:val="105"/>
          <w:sz w:val="22"/>
        </w:rPr>
        <w:t> </w:t>
      </w:r>
      <w:r>
        <w:rPr>
          <w:b/>
          <w:w w:val="105"/>
          <w:sz w:val="22"/>
        </w:rPr>
        <w:t>20</w:t>
      </w:r>
      <w:r>
        <w:rPr>
          <w:b/>
          <w:spacing w:val="-17"/>
          <w:w w:val="105"/>
          <w:sz w:val="22"/>
        </w:rPr>
        <w:t> </w:t>
      </w:r>
      <w:r>
        <w:rPr>
          <w:w w:val="105"/>
          <w:sz w:val="22"/>
        </w:rPr>
        <w:t>a</w:t>
      </w:r>
      <w:r>
        <w:rPr>
          <w:spacing w:val="-16"/>
          <w:w w:val="105"/>
          <w:sz w:val="22"/>
        </w:rPr>
        <w:t> </w:t>
      </w:r>
      <w:r>
        <w:rPr>
          <w:w w:val="105"/>
          <w:sz w:val="22"/>
        </w:rPr>
        <w:t>titolo</w:t>
      </w:r>
      <w:r>
        <w:rPr>
          <w:spacing w:val="-17"/>
          <w:w w:val="105"/>
          <w:sz w:val="22"/>
        </w:rPr>
        <w:t> </w:t>
      </w:r>
      <w:r>
        <w:rPr>
          <w:w w:val="105"/>
          <w:sz w:val="22"/>
        </w:rPr>
        <w:t>di</w:t>
      </w:r>
      <w:r>
        <w:rPr>
          <w:spacing w:val="-16"/>
          <w:w w:val="105"/>
          <w:sz w:val="22"/>
        </w:rPr>
        <w:t> </w:t>
      </w:r>
      <w:r>
        <w:rPr>
          <w:w w:val="105"/>
          <w:sz w:val="22"/>
        </w:rPr>
        <w:t>versamento</w:t>
      </w:r>
      <w:r>
        <w:rPr>
          <w:spacing w:val="-17"/>
          <w:w w:val="105"/>
          <w:sz w:val="22"/>
        </w:rPr>
        <w:t> </w:t>
      </w:r>
      <w:r>
        <w:rPr>
          <w:w w:val="105"/>
          <w:sz w:val="22"/>
        </w:rPr>
        <w:t>in</w:t>
      </w:r>
      <w:r>
        <w:rPr>
          <w:spacing w:val="-16"/>
          <w:w w:val="105"/>
          <w:sz w:val="22"/>
        </w:rPr>
        <w:t> </w:t>
      </w:r>
      <w:r>
        <w:rPr>
          <w:w w:val="105"/>
          <w:sz w:val="22"/>
        </w:rPr>
        <w:t>conto</w:t>
      </w:r>
      <w:r>
        <w:rPr>
          <w:spacing w:val="-17"/>
          <w:w w:val="105"/>
          <w:sz w:val="22"/>
        </w:rPr>
        <w:t> </w:t>
      </w:r>
      <w:r>
        <w:rPr>
          <w:w w:val="105"/>
          <w:sz w:val="22"/>
        </w:rPr>
        <w:t>copertura</w:t>
      </w:r>
      <w:r>
        <w:rPr>
          <w:spacing w:val="-18"/>
          <w:w w:val="105"/>
          <w:sz w:val="22"/>
        </w:rPr>
        <w:t> </w:t>
      </w:r>
      <w:r>
        <w:rPr>
          <w:w w:val="105"/>
          <w:sz w:val="22"/>
        </w:rPr>
        <w:t>perdite;</w:t>
      </w:r>
    </w:p>
    <w:p>
      <w:pPr>
        <w:pStyle w:val="ListParagraph"/>
        <w:numPr>
          <w:ilvl w:val="0"/>
          <w:numId w:val="14"/>
        </w:numPr>
        <w:tabs>
          <w:tab w:pos="935" w:val="left" w:leader="none"/>
        </w:tabs>
        <w:spacing w:line="484" w:lineRule="auto" w:before="3" w:after="0"/>
        <w:ind w:left="934" w:right="2197" w:hanging="534"/>
        <w:jc w:val="both"/>
        <w:rPr>
          <w:sz w:val="22"/>
        </w:rPr>
      </w:pPr>
      <w:r>
        <w:rPr>
          <w:w w:val="105"/>
          <w:sz w:val="22"/>
        </w:rPr>
        <w:t>Con</w:t>
      </w:r>
      <w:r>
        <w:rPr>
          <w:spacing w:val="-12"/>
          <w:w w:val="105"/>
          <w:sz w:val="22"/>
        </w:rPr>
        <w:t> </w:t>
      </w:r>
      <w:r>
        <w:rPr>
          <w:w w:val="105"/>
          <w:sz w:val="22"/>
        </w:rPr>
        <w:t>riferimento</w:t>
      </w:r>
      <w:r>
        <w:rPr>
          <w:spacing w:val="-11"/>
          <w:w w:val="105"/>
          <w:sz w:val="22"/>
        </w:rPr>
        <w:t> </w:t>
      </w:r>
      <w:r>
        <w:rPr>
          <w:w w:val="105"/>
          <w:sz w:val="22"/>
        </w:rPr>
        <w:t>al</w:t>
      </w:r>
      <w:r>
        <w:rPr>
          <w:spacing w:val="-11"/>
          <w:w w:val="105"/>
          <w:sz w:val="22"/>
        </w:rPr>
        <w:t> </w:t>
      </w:r>
      <w:r>
        <w:rPr>
          <w:w w:val="105"/>
          <w:sz w:val="22"/>
        </w:rPr>
        <w:t>bilancio</w:t>
      </w:r>
      <w:r>
        <w:rPr>
          <w:spacing w:val="-11"/>
          <w:w w:val="105"/>
          <w:sz w:val="22"/>
        </w:rPr>
        <w:t> </w:t>
      </w:r>
      <w:r>
        <w:rPr>
          <w:w w:val="105"/>
          <w:sz w:val="22"/>
        </w:rPr>
        <w:t>al</w:t>
      </w:r>
      <w:r>
        <w:rPr>
          <w:spacing w:val="-11"/>
          <w:w w:val="105"/>
          <w:sz w:val="22"/>
        </w:rPr>
        <w:t> </w:t>
      </w:r>
      <w:r>
        <w:rPr>
          <w:w w:val="105"/>
          <w:sz w:val="22"/>
        </w:rPr>
        <w:t>31</w:t>
      </w:r>
      <w:r>
        <w:rPr>
          <w:spacing w:val="-11"/>
          <w:w w:val="105"/>
          <w:sz w:val="22"/>
        </w:rPr>
        <w:t> </w:t>
      </w:r>
      <w:r>
        <w:rPr>
          <w:w w:val="105"/>
          <w:sz w:val="22"/>
        </w:rPr>
        <w:t>dicembre</w:t>
      </w:r>
      <w:r>
        <w:rPr>
          <w:spacing w:val="-11"/>
          <w:w w:val="105"/>
          <w:sz w:val="22"/>
        </w:rPr>
        <w:t> </w:t>
      </w:r>
      <w:r>
        <w:rPr>
          <w:w w:val="105"/>
          <w:sz w:val="22"/>
        </w:rPr>
        <w:t>2016,</w:t>
      </w:r>
      <w:r>
        <w:rPr>
          <w:spacing w:val="-11"/>
          <w:w w:val="105"/>
          <w:sz w:val="22"/>
        </w:rPr>
        <w:t> </w:t>
      </w:r>
      <w:r>
        <w:rPr>
          <w:w w:val="105"/>
          <w:sz w:val="22"/>
        </w:rPr>
        <w:t>la</w:t>
      </w:r>
      <w:r>
        <w:rPr>
          <w:spacing w:val="-12"/>
          <w:w w:val="105"/>
          <w:sz w:val="22"/>
        </w:rPr>
        <w:t> </w:t>
      </w:r>
      <w:r>
        <w:rPr>
          <w:w w:val="105"/>
          <w:sz w:val="22"/>
        </w:rPr>
        <w:t>società</w:t>
      </w:r>
      <w:r>
        <w:rPr>
          <w:spacing w:val="-12"/>
          <w:w w:val="105"/>
          <w:sz w:val="22"/>
        </w:rPr>
        <w:t> </w:t>
      </w:r>
      <w:r>
        <w:rPr>
          <w:w w:val="105"/>
          <w:sz w:val="22"/>
        </w:rPr>
        <w:t>di</w:t>
      </w:r>
      <w:r>
        <w:rPr>
          <w:spacing w:val="-11"/>
          <w:w w:val="105"/>
          <w:sz w:val="22"/>
        </w:rPr>
        <w:t> </w:t>
      </w:r>
      <w:r>
        <w:rPr>
          <w:w w:val="105"/>
          <w:sz w:val="22"/>
        </w:rPr>
        <w:t>revisione (E&amp;Y) a titolo di richiamo d’informativa segnala </w:t>
      </w:r>
      <w:r>
        <w:rPr>
          <w:w w:val="105"/>
          <w:sz w:val="22"/>
          <w:u w:val="single"/>
        </w:rPr>
        <w:t>la significatività </w:t>
      </w:r>
      <w:r>
        <w:rPr>
          <w:spacing w:val="20"/>
          <w:w w:val="105"/>
          <w:sz w:val="22"/>
          <w:u w:val="single"/>
        </w:rPr>
        <w:t> </w:t>
      </w:r>
      <w:r>
        <w:rPr>
          <w:w w:val="105"/>
          <w:sz w:val="22"/>
          <w:u w:val="single"/>
        </w:rPr>
        <w:t>dei</w:t>
      </w:r>
    </w:p>
    <w:p>
      <w:pPr>
        <w:pStyle w:val="BodyText"/>
        <w:spacing w:line="491" w:lineRule="auto" w:before="9"/>
        <w:ind w:left="934" w:right="2105"/>
      </w:pPr>
      <w:r>
        <w:rPr>
          <w:w w:val="105"/>
          <w:u w:val="single"/>
        </w:rPr>
        <w:t>rapporti con le società del Gruppo e le valutazioni effettuate dagli amministratori sulla recuperabilità dei valori delle partecipazioni IBP e</w:t>
      </w:r>
    </w:p>
    <w:p>
      <w:pPr>
        <w:pStyle w:val="BodyText"/>
        <w:spacing w:before="1"/>
        <w:ind w:left="934"/>
      </w:pPr>
      <w:r>
        <w:rPr>
          <w:w w:val="105"/>
          <w:u w:val="single"/>
        </w:rPr>
        <w:t>IBP Energia</w:t>
      </w:r>
      <w:r>
        <w:rPr>
          <w:w w:val="105"/>
        </w:rPr>
        <w:t>.</w:t>
      </w:r>
    </w:p>
    <w:p>
      <w:pPr>
        <w:pStyle w:val="BodyText"/>
        <w:spacing w:before="6"/>
        <w:rPr>
          <w:sz w:val="21"/>
        </w:rPr>
      </w:pPr>
    </w:p>
    <w:p>
      <w:pPr>
        <w:pStyle w:val="Heading1"/>
        <w:numPr>
          <w:ilvl w:val="2"/>
          <w:numId w:val="13"/>
        </w:numPr>
        <w:tabs>
          <w:tab w:pos="1067" w:val="left" w:leader="none"/>
          <w:tab w:pos="1068" w:val="left" w:leader="none"/>
        </w:tabs>
        <w:spacing w:line="240" w:lineRule="auto" w:before="0" w:after="0"/>
        <w:ind w:left="1067" w:right="0" w:hanging="667"/>
        <w:jc w:val="left"/>
      </w:pPr>
      <w:bookmarkStart w:name="_TOC_250036" w:id="16"/>
      <w:r>
        <w:rPr>
          <w:w w:val="95"/>
        </w:rPr>
        <w:t>Esercizio</w:t>
      </w:r>
      <w:r>
        <w:rPr>
          <w:spacing w:val="-17"/>
          <w:w w:val="95"/>
        </w:rPr>
        <w:t> </w:t>
      </w:r>
      <w:bookmarkEnd w:id="16"/>
      <w:r>
        <w:rPr>
          <w:w w:val="95"/>
        </w:rPr>
        <w:t>2017</w:t>
      </w:r>
    </w:p>
    <w:p>
      <w:pPr>
        <w:pStyle w:val="BodyText"/>
        <w:spacing w:before="7"/>
        <w:rPr>
          <w:b/>
          <w:i/>
        </w:rPr>
      </w:pPr>
    </w:p>
    <w:p>
      <w:pPr>
        <w:pStyle w:val="ListParagraph"/>
        <w:numPr>
          <w:ilvl w:val="0"/>
          <w:numId w:val="14"/>
        </w:numPr>
        <w:tabs>
          <w:tab w:pos="935" w:val="left" w:leader="none"/>
        </w:tabs>
        <w:spacing w:line="489" w:lineRule="auto" w:before="0" w:after="0"/>
        <w:ind w:left="934" w:right="2198" w:hanging="534"/>
        <w:jc w:val="both"/>
        <w:rPr>
          <w:sz w:val="22"/>
        </w:rPr>
      </w:pPr>
      <w:r>
        <w:rPr>
          <w:w w:val="105"/>
          <w:sz w:val="22"/>
        </w:rPr>
        <w:t>Escussione da parte di Unicredit della contro-garanzia rilasciata da Biochemtex per l’importo di </w:t>
      </w:r>
      <w:r>
        <w:rPr>
          <w:b/>
          <w:w w:val="105"/>
          <w:sz w:val="22"/>
        </w:rPr>
        <w:t>Euro/Mil. 4 </w:t>
      </w:r>
      <w:r>
        <w:rPr>
          <w:w w:val="105"/>
          <w:sz w:val="22"/>
        </w:rPr>
        <w:t>in relazione al </w:t>
      </w:r>
      <w:r>
        <w:rPr>
          <w:i/>
          <w:w w:val="105"/>
          <w:sz w:val="22"/>
        </w:rPr>
        <w:t>downpayment </w:t>
      </w:r>
      <w:r>
        <w:rPr>
          <w:w w:val="105"/>
          <w:sz w:val="22"/>
        </w:rPr>
        <w:t>pagato</w:t>
      </w:r>
      <w:r>
        <w:rPr>
          <w:spacing w:val="-25"/>
          <w:w w:val="105"/>
          <w:sz w:val="22"/>
        </w:rPr>
        <w:t> </w:t>
      </w:r>
      <w:r>
        <w:rPr>
          <w:w w:val="105"/>
          <w:sz w:val="22"/>
        </w:rPr>
        <w:t>da</w:t>
      </w:r>
      <w:r>
        <w:rPr>
          <w:spacing w:val="-26"/>
          <w:w w:val="105"/>
          <w:sz w:val="22"/>
        </w:rPr>
        <w:t> </w:t>
      </w:r>
      <w:r>
        <w:rPr>
          <w:w w:val="105"/>
          <w:sz w:val="22"/>
        </w:rPr>
        <w:t>Entsorga</w:t>
      </w:r>
      <w:r>
        <w:rPr>
          <w:spacing w:val="-25"/>
          <w:w w:val="105"/>
          <w:sz w:val="22"/>
        </w:rPr>
        <w:t> </w:t>
      </w:r>
      <w:r>
        <w:rPr>
          <w:w w:val="105"/>
          <w:sz w:val="22"/>
        </w:rPr>
        <w:t>Westvirginia;</w:t>
      </w:r>
    </w:p>
    <w:p>
      <w:pPr>
        <w:pStyle w:val="ListParagraph"/>
        <w:numPr>
          <w:ilvl w:val="0"/>
          <w:numId w:val="14"/>
        </w:numPr>
        <w:tabs>
          <w:tab w:pos="935" w:val="left" w:leader="none"/>
        </w:tabs>
        <w:spacing w:line="487" w:lineRule="auto" w:before="2" w:after="0"/>
        <w:ind w:left="934" w:right="2196" w:hanging="534"/>
        <w:jc w:val="both"/>
        <w:rPr>
          <w:sz w:val="22"/>
        </w:rPr>
      </w:pPr>
      <w:r>
        <w:rPr>
          <w:w w:val="105"/>
          <w:sz w:val="22"/>
        </w:rPr>
        <w:t>Accordo</w:t>
      </w:r>
      <w:r>
        <w:rPr>
          <w:spacing w:val="-12"/>
          <w:w w:val="105"/>
          <w:sz w:val="22"/>
        </w:rPr>
        <w:t> </w:t>
      </w:r>
      <w:r>
        <w:rPr>
          <w:w w:val="105"/>
          <w:sz w:val="22"/>
        </w:rPr>
        <w:t>con</w:t>
      </w:r>
      <w:r>
        <w:rPr>
          <w:spacing w:val="-12"/>
          <w:w w:val="105"/>
          <w:sz w:val="22"/>
        </w:rPr>
        <w:t> </w:t>
      </w:r>
      <w:r>
        <w:rPr>
          <w:w w:val="105"/>
          <w:sz w:val="22"/>
        </w:rPr>
        <w:t>IBP</w:t>
      </w:r>
      <w:r>
        <w:rPr>
          <w:spacing w:val="-12"/>
          <w:w w:val="105"/>
          <w:sz w:val="22"/>
        </w:rPr>
        <w:t> </w:t>
      </w:r>
      <w:r>
        <w:rPr>
          <w:w w:val="105"/>
          <w:sz w:val="22"/>
        </w:rPr>
        <w:t>di</w:t>
      </w:r>
      <w:r>
        <w:rPr>
          <w:spacing w:val="-13"/>
          <w:w w:val="105"/>
          <w:sz w:val="22"/>
        </w:rPr>
        <w:t> </w:t>
      </w:r>
      <w:r>
        <w:rPr>
          <w:w w:val="105"/>
          <w:sz w:val="22"/>
        </w:rPr>
        <w:t>conversione</w:t>
      </w:r>
      <w:r>
        <w:rPr>
          <w:spacing w:val="-14"/>
          <w:w w:val="105"/>
          <w:sz w:val="22"/>
        </w:rPr>
        <w:t> </w:t>
      </w:r>
      <w:r>
        <w:rPr>
          <w:w w:val="105"/>
          <w:sz w:val="22"/>
        </w:rPr>
        <w:t>a</w:t>
      </w:r>
      <w:r>
        <w:rPr>
          <w:spacing w:val="-13"/>
          <w:w w:val="105"/>
          <w:sz w:val="22"/>
        </w:rPr>
        <w:t> </w:t>
      </w:r>
      <w:r>
        <w:rPr>
          <w:w w:val="105"/>
          <w:sz w:val="22"/>
        </w:rPr>
        <w:t>riserva</w:t>
      </w:r>
      <w:r>
        <w:rPr>
          <w:spacing w:val="-12"/>
          <w:w w:val="105"/>
          <w:sz w:val="22"/>
        </w:rPr>
        <w:t> </w:t>
      </w:r>
      <w:r>
        <w:rPr>
          <w:w w:val="105"/>
          <w:sz w:val="22"/>
        </w:rPr>
        <w:t>per</w:t>
      </w:r>
      <w:r>
        <w:rPr>
          <w:spacing w:val="-12"/>
          <w:w w:val="105"/>
          <w:sz w:val="22"/>
        </w:rPr>
        <w:t> </w:t>
      </w:r>
      <w:r>
        <w:rPr>
          <w:w w:val="105"/>
          <w:sz w:val="22"/>
        </w:rPr>
        <w:t>copertura</w:t>
      </w:r>
      <w:r>
        <w:rPr>
          <w:spacing w:val="-13"/>
          <w:w w:val="105"/>
          <w:sz w:val="22"/>
        </w:rPr>
        <w:t> </w:t>
      </w:r>
      <w:r>
        <w:rPr>
          <w:w w:val="105"/>
          <w:sz w:val="22"/>
        </w:rPr>
        <w:t>perdite</w:t>
      </w:r>
      <w:r>
        <w:rPr>
          <w:spacing w:val="-12"/>
          <w:w w:val="105"/>
          <w:sz w:val="22"/>
        </w:rPr>
        <w:t> </w:t>
      </w:r>
      <w:r>
        <w:rPr>
          <w:w w:val="105"/>
          <w:sz w:val="22"/>
        </w:rPr>
        <w:t>di</w:t>
      </w:r>
      <w:r>
        <w:rPr>
          <w:spacing w:val="-13"/>
          <w:w w:val="105"/>
          <w:sz w:val="22"/>
        </w:rPr>
        <w:t> </w:t>
      </w:r>
      <w:r>
        <w:rPr>
          <w:w w:val="105"/>
          <w:sz w:val="22"/>
        </w:rPr>
        <w:t>una quota</w:t>
      </w:r>
      <w:r>
        <w:rPr>
          <w:spacing w:val="-10"/>
          <w:w w:val="105"/>
          <w:sz w:val="22"/>
        </w:rPr>
        <w:t> </w:t>
      </w:r>
      <w:r>
        <w:rPr>
          <w:w w:val="105"/>
          <w:sz w:val="22"/>
        </w:rPr>
        <w:t>pari</w:t>
      </w:r>
      <w:r>
        <w:rPr>
          <w:spacing w:val="-10"/>
          <w:w w:val="105"/>
          <w:sz w:val="22"/>
        </w:rPr>
        <w:t> </w:t>
      </w:r>
      <w:r>
        <w:rPr>
          <w:w w:val="105"/>
          <w:sz w:val="22"/>
        </w:rPr>
        <w:t>ad</w:t>
      </w:r>
      <w:r>
        <w:rPr>
          <w:spacing w:val="-10"/>
          <w:w w:val="105"/>
          <w:sz w:val="22"/>
        </w:rPr>
        <w:t> </w:t>
      </w:r>
      <w:r>
        <w:rPr>
          <w:b/>
          <w:w w:val="105"/>
          <w:sz w:val="22"/>
        </w:rPr>
        <w:t>Euro/Mil.</w:t>
      </w:r>
      <w:r>
        <w:rPr>
          <w:b/>
          <w:spacing w:val="-3"/>
          <w:w w:val="105"/>
          <w:sz w:val="22"/>
        </w:rPr>
        <w:t> </w:t>
      </w:r>
      <w:r>
        <w:rPr>
          <w:b/>
          <w:w w:val="105"/>
          <w:sz w:val="22"/>
        </w:rPr>
        <w:t>6,5</w:t>
      </w:r>
      <w:r>
        <w:rPr>
          <w:b/>
          <w:spacing w:val="-10"/>
          <w:w w:val="105"/>
          <w:sz w:val="22"/>
        </w:rPr>
        <w:t> </w:t>
      </w:r>
      <w:r>
        <w:rPr>
          <w:w w:val="105"/>
          <w:sz w:val="22"/>
        </w:rPr>
        <w:t>del</w:t>
      </w:r>
      <w:r>
        <w:rPr>
          <w:spacing w:val="-10"/>
          <w:w w:val="105"/>
          <w:sz w:val="22"/>
        </w:rPr>
        <w:t> </w:t>
      </w:r>
      <w:r>
        <w:rPr>
          <w:w w:val="105"/>
          <w:sz w:val="22"/>
        </w:rPr>
        <w:t>maggior</w:t>
      </w:r>
      <w:r>
        <w:rPr>
          <w:spacing w:val="-10"/>
          <w:w w:val="105"/>
          <w:sz w:val="22"/>
        </w:rPr>
        <w:t> </w:t>
      </w:r>
      <w:r>
        <w:rPr>
          <w:w w:val="105"/>
          <w:sz w:val="22"/>
        </w:rPr>
        <w:t>credito</w:t>
      </w:r>
      <w:r>
        <w:rPr>
          <w:spacing w:val="-11"/>
          <w:w w:val="105"/>
          <w:sz w:val="22"/>
        </w:rPr>
        <w:t> </w:t>
      </w:r>
      <w:r>
        <w:rPr>
          <w:w w:val="105"/>
          <w:sz w:val="22"/>
        </w:rPr>
        <w:t>finanziario</w:t>
      </w:r>
      <w:r>
        <w:rPr>
          <w:spacing w:val="-10"/>
          <w:w w:val="105"/>
          <w:sz w:val="22"/>
        </w:rPr>
        <w:t> </w:t>
      </w:r>
      <w:r>
        <w:rPr>
          <w:w w:val="105"/>
          <w:sz w:val="22"/>
        </w:rPr>
        <w:t>vantato</w:t>
      </w:r>
      <w:r>
        <w:rPr>
          <w:spacing w:val="-10"/>
          <w:w w:val="105"/>
          <w:sz w:val="22"/>
        </w:rPr>
        <w:t> </w:t>
      </w:r>
      <w:r>
        <w:rPr>
          <w:w w:val="105"/>
          <w:sz w:val="22"/>
        </w:rPr>
        <w:t>e di</w:t>
      </w:r>
      <w:r>
        <w:rPr>
          <w:spacing w:val="29"/>
          <w:w w:val="105"/>
          <w:sz w:val="22"/>
        </w:rPr>
        <w:t> </w:t>
      </w:r>
      <w:r>
        <w:rPr>
          <w:w w:val="105"/>
          <w:sz w:val="22"/>
        </w:rPr>
        <w:t>una</w:t>
      </w:r>
      <w:r>
        <w:rPr>
          <w:spacing w:val="29"/>
          <w:w w:val="105"/>
          <w:sz w:val="22"/>
        </w:rPr>
        <w:t> </w:t>
      </w:r>
      <w:r>
        <w:rPr>
          <w:w w:val="105"/>
          <w:sz w:val="22"/>
        </w:rPr>
        <w:t>quota</w:t>
      </w:r>
      <w:r>
        <w:rPr>
          <w:spacing w:val="30"/>
          <w:w w:val="105"/>
          <w:sz w:val="22"/>
        </w:rPr>
        <w:t> </w:t>
      </w:r>
      <w:r>
        <w:rPr>
          <w:w w:val="105"/>
          <w:sz w:val="22"/>
        </w:rPr>
        <w:t>pari</w:t>
      </w:r>
      <w:r>
        <w:rPr>
          <w:spacing w:val="29"/>
          <w:w w:val="105"/>
          <w:sz w:val="22"/>
        </w:rPr>
        <w:t> </w:t>
      </w:r>
      <w:r>
        <w:rPr>
          <w:w w:val="105"/>
          <w:sz w:val="22"/>
        </w:rPr>
        <w:t>ad</w:t>
      </w:r>
      <w:r>
        <w:rPr>
          <w:spacing w:val="31"/>
          <w:w w:val="105"/>
          <w:sz w:val="22"/>
        </w:rPr>
        <w:t> </w:t>
      </w:r>
      <w:r>
        <w:rPr>
          <w:b/>
          <w:w w:val="105"/>
          <w:sz w:val="22"/>
        </w:rPr>
        <w:t>Euro/Mil.</w:t>
      </w:r>
      <w:r>
        <w:rPr>
          <w:b/>
          <w:spacing w:val="38"/>
          <w:w w:val="105"/>
          <w:sz w:val="22"/>
        </w:rPr>
        <w:t> </w:t>
      </w:r>
      <w:r>
        <w:rPr>
          <w:b/>
          <w:w w:val="105"/>
          <w:sz w:val="22"/>
        </w:rPr>
        <w:t>3,5</w:t>
      </w:r>
      <w:r>
        <w:rPr>
          <w:b/>
          <w:spacing w:val="30"/>
          <w:w w:val="105"/>
          <w:sz w:val="22"/>
        </w:rPr>
        <w:t> </w:t>
      </w:r>
      <w:r>
        <w:rPr>
          <w:w w:val="105"/>
          <w:sz w:val="22"/>
        </w:rPr>
        <w:t>del</w:t>
      </w:r>
      <w:r>
        <w:rPr>
          <w:spacing w:val="30"/>
          <w:w w:val="105"/>
          <w:sz w:val="22"/>
        </w:rPr>
        <w:t> </w:t>
      </w:r>
      <w:r>
        <w:rPr>
          <w:w w:val="105"/>
          <w:sz w:val="22"/>
        </w:rPr>
        <w:t>maggior</w:t>
      </w:r>
      <w:r>
        <w:rPr>
          <w:spacing w:val="30"/>
          <w:w w:val="105"/>
          <w:sz w:val="22"/>
        </w:rPr>
        <w:t> </w:t>
      </w:r>
      <w:r>
        <w:rPr>
          <w:w w:val="105"/>
          <w:sz w:val="22"/>
        </w:rPr>
        <w:t>credito</w:t>
      </w:r>
      <w:r>
        <w:rPr>
          <w:spacing w:val="29"/>
          <w:w w:val="105"/>
          <w:sz w:val="22"/>
        </w:rPr>
        <w:t> </w:t>
      </w:r>
      <w:r>
        <w:rPr>
          <w:w w:val="105"/>
          <w:sz w:val="22"/>
        </w:rPr>
        <w:t>di</w:t>
      </w:r>
      <w:r>
        <w:rPr>
          <w:spacing w:val="30"/>
          <w:w w:val="105"/>
          <w:sz w:val="22"/>
        </w:rPr>
        <w:t> </w:t>
      </w:r>
      <w:r>
        <w:rPr>
          <w:w w:val="105"/>
          <w:sz w:val="22"/>
        </w:rPr>
        <w:t>natura</w:t>
      </w:r>
    </w:p>
    <w:p>
      <w:pPr>
        <w:spacing w:after="0" w:line="487" w:lineRule="auto"/>
        <w:jc w:val="both"/>
        <w:rPr>
          <w:sz w:val="22"/>
        </w:rPr>
        <w:sectPr>
          <w:pgSz w:w="12240" w:h="15840"/>
          <w:pgMar w:header="0" w:footer="790" w:top="1500" w:bottom="980" w:left="1720" w:right="1200"/>
        </w:sectPr>
      </w:pPr>
    </w:p>
    <w:p>
      <w:pPr>
        <w:pStyle w:val="BodyText"/>
        <w:spacing w:before="105"/>
        <w:ind w:left="934"/>
      </w:pPr>
      <w:r>
        <w:rPr>
          <w:w w:val="105"/>
        </w:rPr>
        <w:t>commerciale.</w:t>
      </w:r>
    </w:p>
    <w:p>
      <w:pPr>
        <w:pStyle w:val="BodyText"/>
        <w:rPr>
          <w:sz w:val="23"/>
        </w:rPr>
      </w:pPr>
    </w:p>
    <w:p>
      <w:pPr>
        <w:pStyle w:val="BodyText"/>
        <w:ind w:left="476" w:right="2272"/>
        <w:jc w:val="center"/>
      </w:pPr>
      <w:r>
        <w:rPr>
          <w:w w:val="105"/>
        </w:rPr>
        <w:t>* * *</w:t>
      </w:r>
    </w:p>
    <w:p>
      <w:pPr>
        <w:pStyle w:val="BodyText"/>
        <w:spacing w:before="9"/>
        <w:rPr>
          <w:sz w:val="13"/>
        </w:rPr>
      </w:pPr>
    </w:p>
    <w:p>
      <w:pPr>
        <w:pStyle w:val="Heading2"/>
        <w:numPr>
          <w:ilvl w:val="1"/>
          <w:numId w:val="13"/>
        </w:numPr>
        <w:tabs>
          <w:tab w:pos="1067" w:val="left" w:leader="none"/>
        </w:tabs>
        <w:spacing w:line="240" w:lineRule="auto" w:before="105" w:after="0"/>
        <w:ind w:left="1066" w:right="0" w:hanging="666"/>
        <w:jc w:val="both"/>
      </w:pPr>
      <w:bookmarkStart w:name="_TOC_250035" w:id="17"/>
      <w:r>
        <w:rPr>
          <w:w w:val="105"/>
          <w:u w:val="single"/>
        </w:rPr>
        <w:t>Le</w:t>
      </w:r>
      <w:r>
        <w:rPr>
          <w:spacing w:val="-20"/>
          <w:w w:val="105"/>
          <w:u w:val="single"/>
        </w:rPr>
        <w:t> </w:t>
      </w:r>
      <w:r>
        <w:rPr>
          <w:w w:val="105"/>
          <w:u w:val="single"/>
        </w:rPr>
        <w:t>ragioni</w:t>
      </w:r>
      <w:r>
        <w:rPr>
          <w:spacing w:val="-21"/>
          <w:w w:val="105"/>
          <w:u w:val="single"/>
        </w:rPr>
        <w:t> </w:t>
      </w:r>
      <w:r>
        <w:rPr>
          <w:w w:val="105"/>
          <w:u w:val="single"/>
        </w:rPr>
        <w:t>della</w:t>
      </w:r>
      <w:r>
        <w:rPr>
          <w:spacing w:val="-19"/>
          <w:w w:val="105"/>
          <w:u w:val="single"/>
        </w:rPr>
        <w:t> </w:t>
      </w:r>
      <w:bookmarkEnd w:id="17"/>
      <w:r>
        <w:rPr>
          <w:w w:val="105"/>
          <w:u w:val="single"/>
        </w:rPr>
        <w:t>crisi</w:t>
      </w:r>
    </w:p>
    <w:p>
      <w:pPr>
        <w:pStyle w:val="BodyText"/>
        <w:spacing w:before="1"/>
        <w:rPr>
          <w:b/>
          <w:sz w:val="23"/>
        </w:rPr>
      </w:pPr>
    </w:p>
    <w:p>
      <w:pPr>
        <w:pStyle w:val="BodyText"/>
        <w:spacing w:line="491" w:lineRule="auto"/>
        <w:ind w:left="400" w:right="2195"/>
        <w:jc w:val="both"/>
      </w:pPr>
      <w:r>
        <w:rPr>
          <w:w w:val="105"/>
        </w:rPr>
        <w:t>La crisi di Biochemtex è conseguenza della crisi che ha colpito l’area di attività</w:t>
      </w:r>
      <w:r>
        <w:rPr>
          <w:spacing w:val="-9"/>
          <w:w w:val="105"/>
        </w:rPr>
        <w:t> </w:t>
      </w:r>
      <w:r>
        <w:rPr>
          <w:w w:val="105"/>
        </w:rPr>
        <w:t>del</w:t>
      </w:r>
      <w:r>
        <w:rPr>
          <w:spacing w:val="-10"/>
          <w:w w:val="105"/>
        </w:rPr>
        <w:t> </w:t>
      </w:r>
      <w:r>
        <w:rPr>
          <w:w w:val="105"/>
        </w:rPr>
        <w:t>bioetanolo</w:t>
      </w:r>
      <w:r>
        <w:rPr>
          <w:spacing w:val="-9"/>
          <w:w w:val="105"/>
        </w:rPr>
        <w:t> </w:t>
      </w:r>
      <w:r>
        <w:rPr>
          <w:w w:val="105"/>
        </w:rPr>
        <w:t>di</w:t>
      </w:r>
      <w:r>
        <w:rPr>
          <w:spacing w:val="-10"/>
          <w:w w:val="105"/>
        </w:rPr>
        <w:t> </w:t>
      </w:r>
      <w:r>
        <w:rPr>
          <w:w w:val="105"/>
        </w:rPr>
        <w:t>seconda</w:t>
      </w:r>
      <w:r>
        <w:rPr>
          <w:spacing w:val="-10"/>
          <w:w w:val="105"/>
        </w:rPr>
        <w:t> </w:t>
      </w:r>
      <w:r>
        <w:rPr>
          <w:w w:val="105"/>
        </w:rPr>
        <w:t>generazione</w:t>
      </w:r>
      <w:r>
        <w:rPr>
          <w:spacing w:val="-10"/>
          <w:w w:val="105"/>
        </w:rPr>
        <w:t> </w:t>
      </w:r>
      <w:r>
        <w:rPr>
          <w:w w:val="105"/>
        </w:rPr>
        <w:t>che</w:t>
      </w:r>
      <w:r>
        <w:rPr>
          <w:spacing w:val="-10"/>
          <w:w w:val="105"/>
        </w:rPr>
        <w:t> </w:t>
      </w:r>
      <w:r>
        <w:rPr>
          <w:w w:val="105"/>
        </w:rPr>
        <w:t>ha</w:t>
      </w:r>
      <w:r>
        <w:rPr>
          <w:spacing w:val="-10"/>
          <w:w w:val="105"/>
        </w:rPr>
        <w:t> </w:t>
      </w:r>
      <w:r>
        <w:rPr>
          <w:w w:val="105"/>
        </w:rPr>
        <w:t>interessato</w:t>
      </w:r>
      <w:r>
        <w:rPr>
          <w:spacing w:val="-10"/>
          <w:w w:val="105"/>
        </w:rPr>
        <w:t> </w:t>
      </w:r>
      <w:r>
        <w:rPr>
          <w:w w:val="105"/>
        </w:rPr>
        <w:t>IBP,</w:t>
      </w:r>
      <w:r>
        <w:rPr>
          <w:spacing w:val="-10"/>
          <w:w w:val="105"/>
        </w:rPr>
        <w:t> </w:t>
      </w:r>
      <w:r>
        <w:rPr>
          <w:w w:val="105"/>
        </w:rPr>
        <w:t>Beta</w:t>
      </w:r>
      <w:r>
        <w:rPr>
          <w:spacing w:val="-10"/>
          <w:w w:val="105"/>
        </w:rPr>
        <w:t> </w:t>
      </w:r>
      <w:r>
        <w:rPr>
          <w:w w:val="105"/>
        </w:rPr>
        <w:t>e IBP</w:t>
      </w:r>
      <w:r>
        <w:rPr>
          <w:spacing w:val="-35"/>
          <w:w w:val="105"/>
        </w:rPr>
        <w:t> </w:t>
      </w:r>
      <w:r>
        <w:rPr>
          <w:w w:val="105"/>
        </w:rPr>
        <w:t>Energia.</w:t>
      </w:r>
    </w:p>
    <w:p>
      <w:pPr>
        <w:pStyle w:val="BodyText"/>
        <w:spacing w:line="491" w:lineRule="auto"/>
        <w:ind w:left="400" w:right="2196"/>
        <w:jc w:val="both"/>
      </w:pPr>
      <w:r>
        <w:rPr>
          <w:w w:val="105"/>
        </w:rPr>
        <w:t>Per quanto interessa nel dettaglio Biochemtex, le cause della crisi sono principalmente dipese dal costante finanziamento erogato in favore di IBP per la costruzione dell’impianto di Crescentino, dall’assunzione dei relativi extra costi e dalla costante posizione di credito nei confronti della capogruppo MG Finanziaria; circostanze queste che, specie la terza, hanno provocato una situazione di disequilibrio patrimoniale e finanziario, rendendo</w:t>
      </w:r>
      <w:r>
        <w:rPr>
          <w:spacing w:val="-18"/>
          <w:w w:val="105"/>
        </w:rPr>
        <w:t> </w:t>
      </w:r>
      <w:r>
        <w:rPr>
          <w:w w:val="105"/>
        </w:rPr>
        <w:t>poi</w:t>
      </w:r>
      <w:r>
        <w:rPr>
          <w:spacing w:val="-19"/>
          <w:w w:val="105"/>
        </w:rPr>
        <w:t> </w:t>
      </w:r>
      <w:r>
        <w:rPr>
          <w:w w:val="105"/>
        </w:rPr>
        <w:t>impossibile</w:t>
      </w:r>
      <w:r>
        <w:rPr>
          <w:spacing w:val="-20"/>
          <w:w w:val="105"/>
        </w:rPr>
        <w:t> </w:t>
      </w:r>
      <w:r>
        <w:rPr>
          <w:w w:val="105"/>
        </w:rPr>
        <w:t>il</w:t>
      </w:r>
      <w:r>
        <w:rPr>
          <w:spacing w:val="-19"/>
          <w:w w:val="105"/>
        </w:rPr>
        <w:t> </w:t>
      </w:r>
      <w:r>
        <w:rPr>
          <w:w w:val="105"/>
        </w:rPr>
        <w:t>regolare</w:t>
      </w:r>
      <w:r>
        <w:rPr>
          <w:spacing w:val="-19"/>
          <w:w w:val="105"/>
        </w:rPr>
        <w:t> </w:t>
      </w:r>
      <w:r>
        <w:rPr>
          <w:w w:val="105"/>
        </w:rPr>
        <w:t>adempimento</w:t>
      </w:r>
      <w:r>
        <w:rPr>
          <w:spacing w:val="-18"/>
          <w:w w:val="105"/>
        </w:rPr>
        <w:t> </w:t>
      </w:r>
      <w:r>
        <w:rPr>
          <w:w w:val="105"/>
        </w:rPr>
        <w:t>delle</w:t>
      </w:r>
      <w:r>
        <w:rPr>
          <w:spacing w:val="-19"/>
          <w:w w:val="105"/>
        </w:rPr>
        <w:t> </w:t>
      </w:r>
      <w:r>
        <w:rPr>
          <w:w w:val="105"/>
        </w:rPr>
        <w:t>obbligazioni</w:t>
      </w:r>
      <w:r>
        <w:rPr>
          <w:spacing w:val="-18"/>
          <w:w w:val="105"/>
        </w:rPr>
        <w:t> </w:t>
      </w:r>
      <w:r>
        <w:rPr>
          <w:w w:val="105"/>
        </w:rPr>
        <w:t>scadute e</w:t>
      </w:r>
      <w:r>
        <w:rPr>
          <w:spacing w:val="-29"/>
          <w:w w:val="105"/>
        </w:rPr>
        <w:t> </w:t>
      </w:r>
      <w:r>
        <w:rPr>
          <w:w w:val="105"/>
        </w:rPr>
        <w:t>correnti.</w:t>
      </w:r>
    </w:p>
    <w:p>
      <w:pPr>
        <w:pStyle w:val="BodyText"/>
        <w:spacing w:line="491" w:lineRule="auto"/>
        <w:ind w:left="400" w:right="2195"/>
        <w:jc w:val="both"/>
      </w:pPr>
      <w:r>
        <w:rPr>
          <w:w w:val="105"/>
        </w:rPr>
        <w:t>A</w:t>
      </w:r>
      <w:r>
        <w:rPr>
          <w:spacing w:val="-6"/>
          <w:w w:val="105"/>
        </w:rPr>
        <w:t> </w:t>
      </w:r>
      <w:r>
        <w:rPr>
          <w:w w:val="105"/>
        </w:rPr>
        <w:t>quest’ultimo</w:t>
      </w:r>
      <w:r>
        <w:rPr>
          <w:spacing w:val="-6"/>
          <w:w w:val="105"/>
        </w:rPr>
        <w:t> </w:t>
      </w:r>
      <w:r>
        <w:rPr>
          <w:w w:val="105"/>
        </w:rPr>
        <w:t>riguardo</w:t>
      </w:r>
      <w:r>
        <w:rPr>
          <w:spacing w:val="-4"/>
          <w:w w:val="105"/>
        </w:rPr>
        <w:t> </w:t>
      </w:r>
      <w:r>
        <w:rPr>
          <w:w w:val="105"/>
        </w:rPr>
        <w:t>e</w:t>
      </w:r>
      <w:r>
        <w:rPr>
          <w:spacing w:val="-7"/>
          <w:w w:val="105"/>
        </w:rPr>
        <w:t> </w:t>
      </w:r>
      <w:r>
        <w:rPr>
          <w:w w:val="105"/>
        </w:rPr>
        <w:t>per</w:t>
      </w:r>
      <w:r>
        <w:rPr>
          <w:spacing w:val="-5"/>
          <w:w w:val="105"/>
        </w:rPr>
        <w:t> </w:t>
      </w:r>
      <w:r>
        <w:rPr>
          <w:w w:val="105"/>
        </w:rPr>
        <w:t>quanto</w:t>
      </w:r>
      <w:r>
        <w:rPr>
          <w:spacing w:val="-6"/>
          <w:w w:val="105"/>
        </w:rPr>
        <w:t> </w:t>
      </w:r>
      <w:r>
        <w:rPr>
          <w:w w:val="105"/>
        </w:rPr>
        <w:t>concerne</w:t>
      </w:r>
      <w:r>
        <w:rPr>
          <w:spacing w:val="-7"/>
          <w:w w:val="105"/>
        </w:rPr>
        <w:t> </w:t>
      </w:r>
      <w:r>
        <w:rPr>
          <w:w w:val="105"/>
        </w:rPr>
        <w:t>il</w:t>
      </w:r>
      <w:r>
        <w:rPr>
          <w:spacing w:val="-5"/>
          <w:w w:val="105"/>
        </w:rPr>
        <w:t> </w:t>
      </w:r>
      <w:r>
        <w:rPr>
          <w:w w:val="105"/>
        </w:rPr>
        <w:t>patrimonio</w:t>
      </w:r>
      <w:r>
        <w:rPr>
          <w:spacing w:val="-6"/>
          <w:w w:val="105"/>
        </w:rPr>
        <w:t> </w:t>
      </w:r>
      <w:r>
        <w:rPr>
          <w:w w:val="105"/>
        </w:rPr>
        <w:t>della</w:t>
      </w:r>
      <w:r>
        <w:rPr>
          <w:spacing w:val="-6"/>
          <w:w w:val="105"/>
        </w:rPr>
        <w:t> </w:t>
      </w:r>
      <w:r>
        <w:rPr>
          <w:w w:val="105"/>
        </w:rPr>
        <w:t>Società</w:t>
      </w:r>
      <w:r>
        <w:rPr>
          <w:spacing w:val="-5"/>
          <w:w w:val="105"/>
        </w:rPr>
        <w:t> </w:t>
      </w:r>
      <w:r>
        <w:rPr>
          <w:w w:val="105"/>
        </w:rPr>
        <w:t>al 31</w:t>
      </w:r>
      <w:r>
        <w:rPr>
          <w:spacing w:val="-15"/>
          <w:w w:val="105"/>
        </w:rPr>
        <w:t> </w:t>
      </w:r>
      <w:r>
        <w:rPr>
          <w:w w:val="105"/>
        </w:rPr>
        <w:t>dicembre</w:t>
      </w:r>
      <w:r>
        <w:rPr>
          <w:spacing w:val="-14"/>
          <w:w w:val="105"/>
        </w:rPr>
        <w:t> </w:t>
      </w:r>
      <w:r>
        <w:rPr>
          <w:w w:val="105"/>
        </w:rPr>
        <w:t>2016,</w:t>
      </w:r>
      <w:r>
        <w:rPr>
          <w:spacing w:val="-15"/>
          <w:w w:val="105"/>
        </w:rPr>
        <w:t> </w:t>
      </w:r>
      <w:r>
        <w:rPr>
          <w:w w:val="105"/>
        </w:rPr>
        <w:t>va</w:t>
      </w:r>
      <w:r>
        <w:rPr>
          <w:spacing w:val="-15"/>
          <w:w w:val="105"/>
        </w:rPr>
        <w:t> </w:t>
      </w:r>
      <w:r>
        <w:rPr>
          <w:w w:val="105"/>
        </w:rPr>
        <w:t>considerato</w:t>
      </w:r>
      <w:r>
        <w:rPr>
          <w:spacing w:val="-15"/>
          <w:w w:val="105"/>
        </w:rPr>
        <w:t> </w:t>
      </w:r>
      <w:r>
        <w:rPr>
          <w:w w:val="105"/>
        </w:rPr>
        <w:t>che</w:t>
      </w:r>
      <w:r>
        <w:rPr>
          <w:spacing w:val="-14"/>
          <w:w w:val="105"/>
        </w:rPr>
        <w:t> </w:t>
      </w:r>
      <w:r>
        <w:rPr>
          <w:w w:val="105"/>
        </w:rPr>
        <w:t>lo</w:t>
      </w:r>
      <w:r>
        <w:rPr>
          <w:spacing w:val="-15"/>
          <w:w w:val="105"/>
        </w:rPr>
        <w:t> </w:t>
      </w:r>
      <w:r>
        <w:rPr>
          <w:w w:val="105"/>
        </w:rPr>
        <w:t>stesso</w:t>
      </w:r>
      <w:r>
        <w:rPr>
          <w:spacing w:val="-15"/>
          <w:w w:val="105"/>
        </w:rPr>
        <w:t> </w:t>
      </w:r>
      <w:r>
        <w:rPr>
          <w:w w:val="105"/>
        </w:rPr>
        <w:t>include,</w:t>
      </w:r>
      <w:r>
        <w:rPr>
          <w:spacing w:val="-15"/>
          <w:w w:val="105"/>
        </w:rPr>
        <w:t> </w:t>
      </w:r>
      <w:r>
        <w:rPr>
          <w:w w:val="105"/>
        </w:rPr>
        <w:t>tra</w:t>
      </w:r>
      <w:r>
        <w:rPr>
          <w:spacing w:val="-15"/>
          <w:w w:val="105"/>
        </w:rPr>
        <w:t> </w:t>
      </w:r>
      <w:r>
        <w:rPr>
          <w:w w:val="105"/>
        </w:rPr>
        <w:t>le</w:t>
      </w:r>
      <w:r>
        <w:rPr>
          <w:spacing w:val="-15"/>
          <w:w w:val="105"/>
        </w:rPr>
        <w:t> </w:t>
      </w:r>
      <w:r>
        <w:rPr>
          <w:w w:val="105"/>
        </w:rPr>
        <w:t>poste</w:t>
      </w:r>
      <w:r>
        <w:rPr>
          <w:spacing w:val="-14"/>
          <w:w w:val="105"/>
        </w:rPr>
        <w:t> </w:t>
      </w:r>
      <w:r>
        <w:rPr>
          <w:w w:val="105"/>
        </w:rPr>
        <w:t>contabili, la partecipazione detenuta in IBP, il cui valore dipende dal trattamento che viene riservato ad un prestito che la stessa aveva ricevuto da Beta per un importo</w:t>
      </w:r>
      <w:r>
        <w:rPr>
          <w:spacing w:val="-14"/>
          <w:w w:val="105"/>
        </w:rPr>
        <w:t> </w:t>
      </w:r>
      <w:r>
        <w:rPr>
          <w:w w:val="105"/>
        </w:rPr>
        <w:t>pari</w:t>
      </w:r>
      <w:r>
        <w:rPr>
          <w:spacing w:val="-14"/>
          <w:w w:val="105"/>
        </w:rPr>
        <w:t> </w:t>
      </w:r>
      <w:r>
        <w:rPr>
          <w:w w:val="105"/>
        </w:rPr>
        <w:t>€</w:t>
      </w:r>
      <w:r>
        <w:rPr>
          <w:spacing w:val="-14"/>
          <w:w w:val="105"/>
        </w:rPr>
        <w:t> </w:t>
      </w:r>
      <w:r>
        <w:rPr>
          <w:w w:val="105"/>
        </w:rPr>
        <w:t>90</w:t>
      </w:r>
      <w:r>
        <w:rPr>
          <w:spacing w:val="-14"/>
          <w:w w:val="105"/>
        </w:rPr>
        <w:t> </w:t>
      </w:r>
      <w:r>
        <w:rPr>
          <w:w w:val="105"/>
        </w:rPr>
        <w:t>milioni.</w:t>
      </w:r>
      <w:r>
        <w:rPr>
          <w:spacing w:val="-14"/>
          <w:w w:val="105"/>
        </w:rPr>
        <w:t> </w:t>
      </w:r>
      <w:r>
        <w:rPr>
          <w:w w:val="105"/>
        </w:rPr>
        <w:t>Tale</w:t>
      </w:r>
      <w:r>
        <w:rPr>
          <w:spacing w:val="-13"/>
          <w:w w:val="105"/>
        </w:rPr>
        <w:t> </w:t>
      </w:r>
      <w:r>
        <w:rPr>
          <w:w w:val="105"/>
        </w:rPr>
        <w:t>prestito</w:t>
      </w:r>
      <w:r>
        <w:rPr>
          <w:spacing w:val="-14"/>
          <w:w w:val="105"/>
        </w:rPr>
        <w:t> </w:t>
      </w:r>
      <w:r>
        <w:rPr>
          <w:w w:val="105"/>
        </w:rPr>
        <w:t>è</w:t>
      </w:r>
      <w:r>
        <w:rPr>
          <w:spacing w:val="-14"/>
          <w:w w:val="105"/>
        </w:rPr>
        <w:t> </w:t>
      </w:r>
      <w:r>
        <w:rPr>
          <w:w w:val="105"/>
        </w:rPr>
        <w:t>stato</w:t>
      </w:r>
      <w:r>
        <w:rPr>
          <w:spacing w:val="-13"/>
          <w:w w:val="105"/>
        </w:rPr>
        <w:t> </w:t>
      </w:r>
      <w:r>
        <w:rPr>
          <w:w w:val="105"/>
        </w:rPr>
        <w:t>erogato</w:t>
      </w:r>
      <w:r>
        <w:rPr>
          <w:spacing w:val="-13"/>
          <w:w w:val="105"/>
        </w:rPr>
        <w:t> </w:t>
      </w:r>
      <w:r>
        <w:rPr>
          <w:w w:val="105"/>
        </w:rPr>
        <w:t>in</w:t>
      </w:r>
      <w:r>
        <w:rPr>
          <w:spacing w:val="-14"/>
          <w:w w:val="105"/>
        </w:rPr>
        <w:t> </w:t>
      </w:r>
      <w:r>
        <w:rPr>
          <w:w w:val="105"/>
        </w:rPr>
        <w:t>seguito</w:t>
      </w:r>
      <w:r>
        <w:rPr>
          <w:spacing w:val="-15"/>
          <w:w w:val="105"/>
        </w:rPr>
        <w:t> </w:t>
      </w:r>
      <w:r>
        <w:rPr>
          <w:w w:val="105"/>
        </w:rPr>
        <w:t>all'</w:t>
      </w:r>
      <w:r>
        <w:rPr>
          <w:spacing w:val="-15"/>
          <w:w w:val="105"/>
        </w:rPr>
        <w:t> </w:t>
      </w:r>
      <w:r>
        <w:rPr>
          <w:w w:val="105"/>
        </w:rPr>
        <w:t>ingresso di Novozymes nel capitale sociale di Beta tramite una sottoscrizione pari</w:t>
      </w:r>
      <w:r>
        <w:rPr>
          <w:spacing w:val="-38"/>
          <w:w w:val="105"/>
        </w:rPr>
        <w:t> </w:t>
      </w:r>
      <w:r>
        <w:rPr>
          <w:w w:val="105"/>
        </w:rPr>
        <w:t>ad</w:t>
      </w:r>
    </w:p>
    <w:p>
      <w:pPr>
        <w:pStyle w:val="BodyText"/>
        <w:spacing w:line="491" w:lineRule="auto"/>
        <w:ind w:left="400" w:right="2196"/>
        <w:jc w:val="both"/>
      </w:pPr>
      <w:r>
        <w:rPr>
          <w:w w:val="105"/>
        </w:rPr>
        <w:t>€ 62,5 milioni ed il versamento di € 27,5 milioni collegati a rapporti commerciali. Questi rapporti (ricostruiti, anche a servizio degli attestatori, con il supporto di Deloitte[1]) sono stati poi modificati nel tempo, giungendosi sino alla data attuale in cui Novozymes e TPG, quali soci di</w:t>
      </w:r>
    </w:p>
    <w:p>
      <w:pPr>
        <w:spacing w:after="0" w:line="491" w:lineRule="auto"/>
        <w:jc w:val="both"/>
        <w:sectPr>
          <w:pgSz w:w="12240" w:h="15840"/>
          <w:pgMar w:header="0" w:footer="790" w:top="1500" w:bottom="980" w:left="1720" w:right="1200"/>
        </w:sectPr>
      </w:pPr>
    </w:p>
    <w:p>
      <w:pPr>
        <w:pStyle w:val="BodyText"/>
        <w:tabs>
          <w:tab w:pos="1111" w:val="left" w:leader="none"/>
          <w:tab w:pos="2166" w:val="left" w:leader="none"/>
          <w:tab w:pos="3152" w:val="left" w:leader="none"/>
          <w:tab w:pos="4595" w:val="left" w:leader="none"/>
          <w:tab w:pos="5328" w:val="left" w:leader="none"/>
          <w:tab w:pos="5692" w:val="left" w:leader="none"/>
          <w:tab w:pos="6719" w:val="left" w:leader="none"/>
        </w:tabs>
        <w:spacing w:line="491" w:lineRule="auto" w:before="105"/>
        <w:ind w:left="400" w:right="2195"/>
      </w:pPr>
      <w:r>
        <w:rPr>
          <w:w w:val="105"/>
        </w:rPr>
        <w:t>Beta,</w:t>
      </w:r>
      <w:r>
        <w:rPr>
          <w:spacing w:val="-8"/>
          <w:w w:val="105"/>
        </w:rPr>
        <w:t> </w:t>
      </w:r>
      <w:r>
        <w:rPr>
          <w:w w:val="105"/>
        </w:rPr>
        <w:t>ha</w:t>
      </w:r>
      <w:r>
        <w:rPr>
          <w:spacing w:val="-9"/>
          <w:w w:val="105"/>
        </w:rPr>
        <w:t> </w:t>
      </w:r>
      <w:r>
        <w:rPr>
          <w:w w:val="105"/>
        </w:rPr>
        <w:t>dichiarato</w:t>
      </w:r>
      <w:r>
        <w:rPr>
          <w:spacing w:val="-8"/>
          <w:w w:val="105"/>
        </w:rPr>
        <w:t> </w:t>
      </w:r>
      <w:r>
        <w:rPr>
          <w:w w:val="105"/>
        </w:rPr>
        <w:t>di</w:t>
      </w:r>
      <w:r>
        <w:rPr>
          <w:spacing w:val="-8"/>
          <w:w w:val="105"/>
        </w:rPr>
        <w:t> </w:t>
      </w:r>
      <w:r>
        <w:rPr>
          <w:w w:val="105"/>
        </w:rPr>
        <w:t>non</w:t>
      </w:r>
      <w:r>
        <w:rPr>
          <w:spacing w:val="-8"/>
          <w:w w:val="105"/>
        </w:rPr>
        <w:t> </w:t>
      </w:r>
      <w:r>
        <w:rPr>
          <w:w w:val="105"/>
        </w:rPr>
        <w:t>opporsi</w:t>
      </w:r>
      <w:r>
        <w:rPr>
          <w:spacing w:val="-8"/>
          <w:w w:val="105"/>
        </w:rPr>
        <w:t> </w:t>
      </w:r>
      <w:r>
        <w:rPr>
          <w:w w:val="105"/>
        </w:rPr>
        <w:t>alla</w:t>
      </w:r>
      <w:r>
        <w:rPr>
          <w:spacing w:val="-8"/>
          <w:w w:val="105"/>
        </w:rPr>
        <w:t> </w:t>
      </w:r>
      <w:r>
        <w:rPr>
          <w:w w:val="105"/>
        </w:rPr>
        <w:t>previsione</w:t>
      </w:r>
      <w:r>
        <w:rPr>
          <w:spacing w:val="-8"/>
          <w:w w:val="105"/>
        </w:rPr>
        <w:t> </w:t>
      </w:r>
      <w:r>
        <w:rPr>
          <w:w w:val="105"/>
        </w:rPr>
        <w:t>di</w:t>
      </w:r>
      <w:r>
        <w:rPr>
          <w:spacing w:val="-9"/>
          <w:w w:val="105"/>
        </w:rPr>
        <w:t> </w:t>
      </w:r>
      <w:r>
        <w:rPr>
          <w:w w:val="105"/>
        </w:rPr>
        <w:t>postergazione</w:t>
      </w:r>
      <w:r>
        <w:rPr>
          <w:spacing w:val="-8"/>
          <w:w w:val="105"/>
        </w:rPr>
        <w:t> </w:t>
      </w:r>
      <w:r>
        <w:rPr>
          <w:w w:val="105"/>
        </w:rPr>
        <w:t>legale</w:t>
      </w:r>
      <w:r>
        <w:rPr>
          <w:spacing w:val="-7"/>
          <w:w w:val="105"/>
        </w:rPr>
        <w:t> </w:t>
      </w:r>
      <w:r>
        <w:rPr>
          <w:w w:val="105"/>
        </w:rPr>
        <w:t>del credito</w:t>
      </w:r>
      <w:r>
        <w:rPr>
          <w:spacing w:val="-10"/>
          <w:w w:val="105"/>
        </w:rPr>
        <w:t> </w:t>
      </w:r>
      <w:r>
        <w:rPr>
          <w:w w:val="105"/>
        </w:rPr>
        <w:t>finanziario</w:t>
      </w:r>
      <w:r>
        <w:rPr>
          <w:spacing w:val="-9"/>
          <w:w w:val="105"/>
        </w:rPr>
        <w:t> </w:t>
      </w:r>
      <w:r>
        <w:rPr>
          <w:w w:val="105"/>
        </w:rPr>
        <w:t>di</w:t>
      </w:r>
      <w:r>
        <w:rPr>
          <w:spacing w:val="-9"/>
          <w:w w:val="105"/>
        </w:rPr>
        <w:t> </w:t>
      </w:r>
      <w:r>
        <w:rPr>
          <w:w w:val="105"/>
        </w:rPr>
        <w:t>quest’ultima</w:t>
      </w:r>
      <w:r>
        <w:rPr>
          <w:spacing w:val="-10"/>
          <w:w w:val="105"/>
        </w:rPr>
        <w:t> </w:t>
      </w:r>
      <w:r>
        <w:rPr>
          <w:w w:val="105"/>
        </w:rPr>
        <w:t>nei</w:t>
      </w:r>
      <w:r>
        <w:rPr>
          <w:spacing w:val="-9"/>
          <w:w w:val="105"/>
        </w:rPr>
        <w:t> </w:t>
      </w:r>
      <w:r>
        <w:rPr>
          <w:w w:val="105"/>
        </w:rPr>
        <w:t>confronti</w:t>
      </w:r>
      <w:r>
        <w:rPr>
          <w:spacing w:val="-8"/>
          <w:w w:val="105"/>
        </w:rPr>
        <w:t> </w:t>
      </w:r>
      <w:r>
        <w:rPr>
          <w:w w:val="105"/>
        </w:rPr>
        <w:t>di</w:t>
      </w:r>
      <w:r>
        <w:rPr>
          <w:spacing w:val="-9"/>
          <w:w w:val="105"/>
        </w:rPr>
        <w:t> </w:t>
      </w:r>
      <w:r>
        <w:rPr>
          <w:w w:val="105"/>
        </w:rPr>
        <w:t>IBP</w:t>
      </w:r>
      <w:r>
        <w:rPr>
          <w:spacing w:val="-9"/>
          <w:w w:val="105"/>
        </w:rPr>
        <w:t> </w:t>
      </w:r>
      <w:r>
        <w:rPr>
          <w:w w:val="105"/>
        </w:rPr>
        <w:t>e,</w:t>
      </w:r>
      <w:r>
        <w:rPr>
          <w:spacing w:val="-9"/>
          <w:w w:val="105"/>
        </w:rPr>
        <w:t> </w:t>
      </w:r>
      <w:r>
        <w:rPr>
          <w:w w:val="105"/>
        </w:rPr>
        <w:t>qui</w:t>
      </w:r>
      <w:r>
        <w:rPr>
          <w:spacing w:val="-10"/>
          <w:w w:val="105"/>
        </w:rPr>
        <w:t> </w:t>
      </w:r>
      <w:r>
        <w:rPr>
          <w:w w:val="105"/>
        </w:rPr>
        <w:t>in</w:t>
      </w:r>
      <w:r>
        <w:rPr>
          <w:spacing w:val="-10"/>
          <w:w w:val="105"/>
        </w:rPr>
        <w:t> </w:t>
      </w:r>
      <w:r>
        <w:rPr>
          <w:w w:val="105"/>
        </w:rPr>
        <w:t>Biochemtex, ha accettato una postergazione volontaria del proprio credito commerciale. Chiaro è che, in questo contesto, gli accordi intervenuti con Novozymes</w:t>
      </w:r>
      <w:r>
        <w:rPr>
          <w:spacing w:val="-30"/>
          <w:w w:val="105"/>
        </w:rPr>
        <w:t> </w:t>
      </w:r>
      <w:r>
        <w:rPr>
          <w:w w:val="105"/>
        </w:rPr>
        <w:t>(e, in </w:t>
      </w:r>
      <w:r>
        <w:rPr>
          <w:spacing w:val="2"/>
          <w:w w:val="105"/>
        </w:rPr>
        <w:t> </w:t>
      </w:r>
      <w:r>
        <w:rPr>
          <w:w w:val="105"/>
        </w:rPr>
        <w:t>particolare, </w:t>
      </w:r>
      <w:r>
        <w:rPr>
          <w:spacing w:val="3"/>
          <w:w w:val="105"/>
        </w:rPr>
        <w:t> </w:t>
      </w:r>
      <w:r>
        <w:rPr>
          <w:w w:val="105"/>
        </w:rPr>
        <w:t>il</w:t>
        <w:tab/>
        <w:t>settlement  agreement  siglato  il  5  ottobre  2015 </w:t>
      </w:r>
      <w:r>
        <w:rPr>
          <w:spacing w:val="6"/>
          <w:w w:val="105"/>
        </w:rPr>
        <w:t> </w:t>
      </w:r>
      <w:r>
        <w:rPr>
          <w:w w:val="105"/>
        </w:rPr>
        <w:t>ed </w:t>
      </w:r>
      <w:r>
        <w:rPr>
          <w:spacing w:val="1"/>
          <w:w w:val="105"/>
        </w:rPr>
        <w:t> </w:t>
      </w:r>
      <w:r>
        <w:rPr>
          <w:w w:val="105"/>
        </w:rPr>
        <w:t>i</w:t>
      </w:r>
      <w:r>
        <w:rPr>
          <w:w w:val="102"/>
        </w:rPr>
        <w:t> </w:t>
      </w:r>
      <w:r>
        <w:rPr>
          <w:w w:val="105"/>
        </w:rPr>
        <w:t>successivi emendamenti del medesimo) hanno determinato un impatto anche</w:t>
        <w:tab/>
        <w:t>nella  </w:t>
      </w:r>
      <w:r>
        <w:rPr>
          <w:spacing w:val="7"/>
          <w:w w:val="105"/>
        </w:rPr>
        <w:t> </w:t>
      </w:r>
      <w:r>
        <w:rPr>
          <w:w w:val="105"/>
        </w:rPr>
        <w:t>possibilità  </w:t>
      </w:r>
      <w:r>
        <w:rPr>
          <w:spacing w:val="7"/>
          <w:w w:val="105"/>
        </w:rPr>
        <w:t> </w:t>
      </w:r>
      <w:r>
        <w:rPr>
          <w:w w:val="105"/>
        </w:rPr>
        <w:t>di</w:t>
        <w:tab/>
        <w:t>supportare  </w:t>
      </w:r>
      <w:r>
        <w:rPr>
          <w:spacing w:val="7"/>
          <w:w w:val="105"/>
        </w:rPr>
        <w:t> </w:t>
      </w:r>
      <w:r>
        <w:rPr>
          <w:w w:val="105"/>
        </w:rPr>
        <w:t>il</w:t>
        <w:tab/>
        <w:t>valore</w:t>
        <w:tab/>
        <w:t>di</w:t>
        <w:tab/>
        <w:t>iscrizione</w:t>
        <w:tab/>
      </w:r>
      <w:r>
        <w:rPr/>
        <w:t>della </w:t>
      </w:r>
      <w:r>
        <w:rPr>
          <w:w w:val="105"/>
        </w:rPr>
        <w:t>partecipazione di Biochemtex in IBP Srl, senza apportare alcuna svalutazione.</w:t>
      </w:r>
    </w:p>
    <w:p>
      <w:pPr>
        <w:pStyle w:val="BodyText"/>
        <w:spacing w:line="247" w:lineRule="exact"/>
        <w:ind w:left="476" w:right="2272"/>
        <w:jc w:val="center"/>
      </w:pPr>
      <w:r>
        <w:rPr>
          <w:w w:val="105"/>
        </w:rPr>
        <w:t>* * *</w:t>
      </w:r>
    </w:p>
    <w:p>
      <w:pPr>
        <w:pStyle w:val="BodyText"/>
        <w:spacing w:before="2"/>
        <w:rPr>
          <w:sz w:val="23"/>
        </w:rPr>
      </w:pPr>
    </w:p>
    <w:p>
      <w:pPr>
        <w:pStyle w:val="BodyText"/>
        <w:spacing w:line="491" w:lineRule="auto"/>
        <w:ind w:left="400" w:right="2195"/>
        <w:jc w:val="both"/>
      </w:pPr>
      <w:r>
        <w:rPr>
          <w:w w:val="105"/>
        </w:rPr>
        <w:t>Alla luce ed in considerazione di quanto rappresentato nei superiori paragrafi,</w:t>
      </w:r>
      <w:r>
        <w:rPr>
          <w:spacing w:val="-14"/>
          <w:w w:val="105"/>
        </w:rPr>
        <w:t> </w:t>
      </w:r>
      <w:r>
        <w:rPr>
          <w:w w:val="105"/>
        </w:rPr>
        <w:t>la</w:t>
      </w:r>
      <w:r>
        <w:rPr>
          <w:spacing w:val="-15"/>
          <w:w w:val="105"/>
        </w:rPr>
        <w:t> </w:t>
      </w:r>
      <w:r>
        <w:rPr>
          <w:w w:val="105"/>
        </w:rPr>
        <w:t>Società,</w:t>
      </w:r>
      <w:r>
        <w:rPr>
          <w:spacing w:val="-14"/>
          <w:w w:val="105"/>
        </w:rPr>
        <w:t> </w:t>
      </w:r>
      <w:r>
        <w:rPr>
          <w:w w:val="105"/>
        </w:rPr>
        <w:t>fermo</w:t>
      </w:r>
      <w:r>
        <w:rPr>
          <w:spacing w:val="-15"/>
          <w:w w:val="105"/>
        </w:rPr>
        <w:t> </w:t>
      </w:r>
      <w:r>
        <w:rPr>
          <w:w w:val="105"/>
        </w:rPr>
        <w:t>il</w:t>
      </w:r>
      <w:r>
        <w:rPr>
          <w:spacing w:val="-15"/>
          <w:w w:val="105"/>
        </w:rPr>
        <w:t> </w:t>
      </w:r>
      <w:r>
        <w:rPr>
          <w:w w:val="105"/>
        </w:rPr>
        <w:t>rispetto</w:t>
      </w:r>
      <w:r>
        <w:rPr>
          <w:spacing w:val="-13"/>
          <w:w w:val="105"/>
        </w:rPr>
        <w:t> </w:t>
      </w:r>
      <w:r>
        <w:rPr>
          <w:w w:val="105"/>
        </w:rPr>
        <w:t>dell’obbligo</w:t>
      </w:r>
      <w:r>
        <w:rPr>
          <w:spacing w:val="-15"/>
          <w:w w:val="105"/>
        </w:rPr>
        <w:t> </w:t>
      </w:r>
      <w:r>
        <w:rPr>
          <w:w w:val="105"/>
        </w:rPr>
        <w:t>di</w:t>
      </w:r>
      <w:r>
        <w:rPr>
          <w:spacing w:val="-15"/>
          <w:w w:val="105"/>
        </w:rPr>
        <w:t> </w:t>
      </w:r>
      <w:r>
        <w:rPr>
          <w:w w:val="105"/>
        </w:rPr>
        <w:t>una</w:t>
      </w:r>
      <w:r>
        <w:rPr>
          <w:spacing w:val="-15"/>
          <w:w w:val="105"/>
        </w:rPr>
        <w:t> </w:t>
      </w:r>
      <w:r>
        <w:rPr>
          <w:w w:val="105"/>
        </w:rPr>
        <w:t>piena</w:t>
      </w:r>
      <w:r>
        <w:rPr>
          <w:spacing w:val="-15"/>
          <w:w w:val="105"/>
        </w:rPr>
        <w:t> </w:t>
      </w:r>
      <w:r>
        <w:rPr>
          <w:i/>
          <w:w w:val="105"/>
        </w:rPr>
        <w:t>disclosure</w:t>
      </w:r>
      <w:r>
        <w:rPr>
          <w:i/>
          <w:spacing w:val="-15"/>
          <w:w w:val="105"/>
        </w:rPr>
        <w:t> </w:t>
      </w:r>
      <w:r>
        <w:rPr>
          <w:w w:val="105"/>
        </w:rPr>
        <w:t>come operata nel rispetto delle indicazioni rinvenienti dalla univoca giurisprudenza, ritiene che non siano ravvisabili elementi di certa ed indiscutibile responsabilità in capo ai propri organi di amministrazione e di controllo.</w:t>
      </w:r>
    </w:p>
    <w:p>
      <w:pPr>
        <w:pStyle w:val="BodyText"/>
        <w:spacing w:line="491" w:lineRule="auto"/>
        <w:ind w:left="400" w:right="2194"/>
        <w:jc w:val="both"/>
      </w:pPr>
      <w:r>
        <w:rPr>
          <w:w w:val="105"/>
        </w:rPr>
        <w:t>La Società ha, tuttavia, preso atto delle valutazioni esposte dagli Attestatori che, nel verificare le cause della crisi, hanno evidenziato possibili profili risarcitori e revocatori.</w:t>
      </w:r>
    </w:p>
    <w:p>
      <w:pPr>
        <w:pStyle w:val="BodyText"/>
        <w:spacing w:line="491" w:lineRule="auto"/>
        <w:ind w:left="400" w:right="2195"/>
        <w:jc w:val="both"/>
      </w:pPr>
      <w:r>
        <w:rPr>
          <w:w w:val="105"/>
        </w:rPr>
        <w:t>Al cospetto di questo giudizio, che inerisce il profilo della convenienza economica (rimessa alla valutazione esclusiva dei creditori), la Società, per</w:t>
      </w:r>
      <w:r>
        <w:rPr>
          <w:spacing w:val="-31"/>
          <w:w w:val="105"/>
        </w:rPr>
        <w:t> </w:t>
      </w:r>
      <w:r>
        <w:rPr>
          <w:w w:val="105"/>
        </w:rPr>
        <w:t>il tramite dei propri consulenti, si è attivata su tre fronti, tutti funzionali a consentire una miglior soddisfazione dei creditori concordatari delle entità del Perimetro</w:t>
      </w:r>
      <w:r>
        <w:rPr>
          <w:spacing w:val="-41"/>
          <w:w w:val="105"/>
        </w:rPr>
        <w:t> </w:t>
      </w:r>
      <w:r>
        <w:rPr>
          <w:w w:val="105"/>
        </w:rPr>
        <w:t>Bio.</w:t>
      </w:r>
    </w:p>
    <w:p>
      <w:pPr>
        <w:spacing w:after="0" w:line="491" w:lineRule="auto"/>
        <w:jc w:val="both"/>
        <w:sectPr>
          <w:pgSz w:w="12240" w:h="15840"/>
          <w:pgMar w:header="0" w:footer="790" w:top="1500" w:bottom="980" w:left="1720" w:right="1200"/>
        </w:sectPr>
      </w:pPr>
    </w:p>
    <w:p>
      <w:pPr>
        <w:pStyle w:val="BodyText"/>
        <w:spacing w:line="491" w:lineRule="auto" w:before="105"/>
        <w:ind w:left="400" w:right="2193"/>
        <w:jc w:val="both"/>
      </w:pPr>
      <w:r>
        <w:rPr>
          <w:w w:val="105"/>
        </w:rPr>
        <w:t>Il primo nei confronti del Marco Ghisolfi, affinché egli valutasse la possibilità di rilasciare, anche nell’interesse degli organi sociali e congiuntamente</w:t>
      </w:r>
      <w:r>
        <w:rPr>
          <w:spacing w:val="-16"/>
          <w:w w:val="105"/>
        </w:rPr>
        <w:t> </w:t>
      </w:r>
      <w:r>
        <w:rPr>
          <w:w w:val="105"/>
        </w:rPr>
        <w:t>a</w:t>
      </w:r>
      <w:r>
        <w:rPr>
          <w:spacing w:val="-15"/>
          <w:w w:val="105"/>
        </w:rPr>
        <w:t> </w:t>
      </w:r>
      <w:r>
        <w:rPr>
          <w:w w:val="105"/>
        </w:rPr>
        <w:t>propri</w:t>
      </w:r>
      <w:r>
        <w:rPr>
          <w:spacing w:val="-16"/>
          <w:w w:val="105"/>
        </w:rPr>
        <w:t> </w:t>
      </w:r>
      <w:r>
        <w:rPr>
          <w:w w:val="105"/>
        </w:rPr>
        <w:t>famigliari,</w:t>
      </w:r>
      <w:r>
        <w:rPr>
          <w:spacing w:val="-16"/>
          <w:w w:val="105"/>
        </w:rPr>
        <w:t> </w:t>
      </w:r>
      <w:r>
        <w:rPr>
          <w:w w:val="105"/>
        </w:rPr>
        <w:t>un</w:t>
      </w:r>
      <w:r>
        <w:rPr>
          <w:spacing w:val="-16"/>
          <w:w w:val="105"/>
        </w:rPr>
        <w:t> </w:t>
      </w:r>
      <w:r>
        <w:rPr>
          <w:w w:val="105"/>
        </w:rPr>
        <w:t>impegno</w:t>
      </w:r>
      <w:r>
        <w:rPr>
          <w:spacing w:val="-16"/>
          <w:w w:val="105"/>
        </w:rPr>
        <w:t> </w:t>
      </w:r>
      <w:r>
        <w:rPr>
          <w:w w:val="105"/>
        </w:rPr>
        <w:t>di</w:t>
      </w:r>
      <w:r>
        <w:rPr>
          <w:spacing w:val="-15"/>
          <w:w w:val="105"/>
        </w:rPr>
        <w:t> </w:t>
      </w:r>
      <w:r>
        <w:rPr>
          <w:w w:val="105"/>
        </w:rPr>
        <w:t>sostegno</w:t>
      </w:r>
      <w:r>
        <w:rPr>
          <w:spacing w:val="-15"/>
          <w:w w:val="105"/>
        </w:rPr>
        <w:t> </w:t>
      </w:r>
      <w:r>
        <w:rPr>
          <w:w w:val="105"/>
        </w:rPr>
        <w:t>o,</w:t>
      </w:r>
      <w:r>
        <w:rPr>
          <w:spacing w:val="-15"/>
          <w:w w:val="105"/>
        </w:rPr>
        <w:t> </w:t>
      </w:r>
      <w:r>
        <w:rPr>
          <w:w w:val="105"/>
        </w:rPr>
        <w:t>comunque,</w:t>
      </w:r>
      <w:r>
        <w:rPr>
          <w:spacing w:val="-16"/>
          <w:w w:val="105"/>
        </w:rPr>
        <w:t> </w:t>
      </w:r>
      <w:r>
        <w:rPr>
          <w:w w:val="105"/>
        </w:rPr>
        <w:t>di contribuzione, anche a valere quale ipotesi di definizione di un possibile contenzioso;</w:t>
      </w:r>
      <w:r>
        <w:rPr>
          <w:spacing w:val="-8"/>
          <w:w w:val="105"/>
        </w:rPr>
        <w:t> </w:t>
      </w:r>
      <w:r>
        <w:rPr>
          <w:w w:val="105"/>
        </w:rPr>
        <w:t>di</w:t>
      </w:r>
      <w:r>
        <w:rPr>
          <w:spacing w:val="-5"/>
          <w:w w:val="105"/>
        </w:rPr>
        <w:t> </w:t>
      </w:r>
      <w:r>
        <w:rPr>
          <w:w w:val="105"/>
        </w:rPr>
        <w:t>qui,</w:t>
      </w:r>
      <w:r>
        <w:rPr>
          <w:spacing w:val="-4"/>
          <w:w w:val="105"/>
        </w:rPr>
        <w:t> </w:t>
      </w:r>
      <w:r>
        <w:rPr>
          <w:w w:val="105"/>
        </w:rPr>
        <w:t>l’Impegno</w:t>
      </w:r>
      <w:r>
        <w:rPr>
          <w:spacing w:val="-4"/>
          <w:w w:val="105"/>
        </w:rPr>
        <w:t> </w:t>
      </w:r>
      <w:r>
        <w:rPr>
          <w:w w:val="105"/>
        </w:rPr>
        <w:t>Ghisolfi.</w:t>
      </w:r>
      <w:r>
        <w:rPr>
          <w:spacing w:val="-4"/>
          <w:w w:val="105"/>
        </w:rPr>
        <w:t> </w:t>
      </w:r>
      <w:r>
        <w:rPr>
          <w:w w:val="105"/>
        </w:rPr>
        <w:t>Il</w:t>
      </w:r>
      <w:r>
        <w:rPr>
          <w:spacing w:val="-5"/>
          <w:w w:val="105"/>
        </w:rPr>
        <w:t> </w:t>
      </w:r>
      <w:r>
        <w:rPr>
          <w:w w:val="105"/>
        </w:rPr>
        <w:t>secondo</w:t>
      </w:r>
      <w:r>
        <w:rPr>
          <w:spacing w:val="-6"/>
          <w:w w:val="105"/>
        </w:rPr>
        <w:t> </w:t>
      </w:r>
      <w:r>
        <w:rPr>
          <w:w w:val="105"/>
        </w:rPr>
        <w:t>nei</w:t>
      </w:r>
      <w:r>
        <w:rPr>
          <w:spacing w:val="-5"/>
          <w:w w:val="105"/>
        </w:rPr>
        <w:t> </w:t>
      </w:r>
      <w:r>
        <w:rPr>
          <w:w w:val="105"/>
        </w:rPr>
        <w:t>confronti</w:t>
      </w:r>
      <w:r>
        <w:rPr>
          <w:spacing w:val="-4"/>
          <w:w w:val="105"/>
        </w:rPr>
        <w:t> </w:t>
      </w:r>
      <w:r>
        <w:rPr>
          <w:w w:val="105"/>
        </w:rPr>
        <w:t>degli</w:t>
      </w:r>
      <w:r>
        <w:rPr>
          <w:spacing w:val="-4"/>
          <w:w w:val="105"/>
        </w:rPr>
        <w:t> </w:t>
      </w:r>
      <w:r>
        <w:rPr>
          <w:w w:val="105"/>
        </w:rPr>
        <w:t>eredi del</w:t>
      </w:r>
      <w:r>
        <w:rPr>
          <w:spacing w:val="-5"/>
          <w:w w:val="105"/>
        </w:rPr>
        <w:t> </w:t>
      </w:r>
      <w:r>
        <w:rPr>
          <w:w w:val="105"/>
        </w:rPr>
        <w:t>dott.</w:t>
      </w:r>
      <w:r>
        <w:rPr>
          <w:spacing w:val="-5"/>
          <w:w w:val="105"/>
        </w:rPr>
        <w:t> </w:t>
      </w:r>
      <w:r>
        <w:rPr>
          <w:w w:val="105"/>
        </w:rPr>
        <w:t>Guido</w:t>
      </w:r>
      <w:r>
        <w:rPr>
          <w:spacing w:val="-5"/>
          <w:w w:val="105"/>
        </w:rPr>
        <w:t> </w:t>
      </w:r>
      <w:r>
        <w:rPr>
          <w:w w:val="105"/>
        </w:rPr>
        <w:t>Ghisolfi,</w:t>
      </w:r>
      <w:r>
        <w:rPr>
          <w:spacing w:val="-5"/>
          <w:w w:val="105"/>
        </w:rPr>
        <w:t> </w:t>
      </w:r>
      <w:r>
        <w:rPr>
          <w:w w:val="105"/>
        </w:rPr>
        <w:t>affinché</w:t>
      </w:r>
      <w:r>
        <w:rPr>
          <w:spacing w:val="-5"/>
          <w:w w:val="105"/>
        </w:rPr>
        <w:t> </w:t>
      </w:r>
      <w:r>
        <w:rPr>
          <w:w w:val="105"/>
        </w:rPr>
        <w:t>essi</w:t>
      </w:r>
      <w:r>
        <w:rPr>
          <w:spacing w:val="-7"/>
          <w:w w:val="105"/>
        </w:rPr>
        <w:t> </w:t>
      </w:r>
      <w:r>
        <w:rPr>
          <w:w w:val="105"/>
        </w:rPr>
        <w:t>valutassero</w:t>
      </w:r>
      <w:r>
        <w:rPr>
          <w:spacing w:val="-5"/>
          <w:w w:val="105"/>
        </w:rPr>
        <w:t> </w:t>
      </w:r>
      <w:r>
        <w:rPr>
          <w:w w:val="105"/>
        </w:rPr>
        <w:t>la</w:t>
      </w:r>
      <w:r>
        <w:rPr>
          <w:spacing w:val="-5"/>
          <w:w w:val="105"/>
        </w:rPr>
        <w:t> </w:t>
      </w:r>
      <w:r>
        <w:rPr>
          <w:w w:val="105"/>
        </w:rPr>
        <w:t>possibilità</w:t>
      </w:r>
      <w:r>
        <w:rPr>
          <w:spacing w:val="-5"/>
          <w:w w:val="105"/>
        </w:rPr>
        <w:t> </w:t>
      </w:r>
      <w:r>
        <w:rPr>
          <w:w w:val="105"/>
        </w:rPr>
        <w:t>di</w:t>
      </w:r>
      <w:r>
        <w:rPr>
          <w:spacing w:val="-15"/>
          <w:w w:val="105"/>
        </w:rPr>
        <w:t> </w:t>
      </w:r>
      <w:r>
        <w:rPr>
          <w:w w:val="105"/>
        </w:rPr>
        <w:t>rinunciare a determinati crediti caduti nell’asse ereditario; di qui, l’Impegno Eredi Ghisolfi. Il terzo nei confronti delle compagnie di assicurazione che hanno prestato</w:t>
      </w:r>
      <w:r>
        <w:rPr>
          <w:spacing w:val="-7"/>
          <w:w w:val="105"/>
        </w:rPr>
        <w:t> </w:t>
      </w:r>
      <w:r>
        <w:rPr>
          <w:w w:val="105"/>
        </w:rPr>
        <w:t>garanzia</w:t>
      </w:r>
      <w:r>
        <w:rPr>
          <w:spacing w:val="-8"/>
          <w:w w:val="105"/>
        </w:rPr>
        <w:t> </w:t>
      </w:r>
      <w:r>
        <w:rPr>
          <w:w w:val="105"/>
        </w:rPr>
        <w:t>nell’interesse</w:t>
      </w:r>
      <w:r>
        <w:rPr>
          <w:spacing w:val="-8"/>
          <w:w w:val="105"/>
        </w:rPr>
        <w:t> </w:t>
      </w:r>
      <w:r>
        <w:rPr>
          <w:w w:val="105"/>
        </w:rPr>
        <w:t>dei</w:t>
      </w:r>
      <w:r>
        <w:rPr>
          <w:spacing w:val="-8"/>
          <w:w w:val="105"/>
        </w:rPr>
        <w:t> </w:t>
      </w:r>
      <w:r>
        <w:rPr>
          <w:w w:val="105"/>
        </w:rPr>
        <w:t>componenti</w:t>
      </w:r>
      <w:r>
        <w:rPr>
          <w:spacing w:val="-10"/>
          <w:w w:val="105"/>
        </w:rPr>
        <w:t> </w:t>
      </w:r>
      <w:r>
        <w:rPr>
          <w:w w:val="105"/>
        </w:rPr>
        <w:t>degli</w:t>
      </w:r>
      <w:r>
        <w:rPr>
          <w:spacing w:val="-10"/>
          <w:w w:val="105"/>
        </w:rPr>
        <w:t> </w:t>
      </w:r>
      <w:r>
        <w:rPr>
          <w:w w:val="105"/>
        </w:rPr>
        <w:t>organi</w:t>
      </w:r>
      <w:r>
        <w:rPr>
          <w:spacing w:val="-8"/>
          <w:w w:val="105"/>
        </w:rPr>
        <w:t> </w:t>
      </w:r>
      <w:r>
        <w:rPr>
          <w:w w:val="105"/>
        </w:rPr>
        <w:t>sociali</w:t>
      </w:r>
      <w:r>
        <w:rPr>
          <w:spacing w:val="-10"/>
          <w:w w:val="105"/>
        </w:rPr>
        <w:t> </w:t>
      </w:r>
      <w:r>
        <w:rPr>
          <w:w w:val="105"/>
        </w:rPr>
        <w:t>di</w:t>
      </w:r>
      <w:r>
        <w:rPr>
          <w:spacing w:val="-8"/>
          <w:w w:val="105"/>
        </w:rPr>
        <w:t> </w:t>
      </w:r>
      <w:r>
        <w:rPr>
          <w:w w:val="105"/>
        </w:rPr>
        <w:t>tutte</w:t>
      </w:r>
      <w:r>
        <w:rPr>
          <w:spacing w:val="-8"/>
          <w:w w:val="105"/>
        </w:rPr>
        <w:t> </w:t>
      </w:r>
      <w:r>
        <w:rPr>
          <w:w w:val="105"/>
        </w:rPr>
        <w:t>le società del Gruppo Mossi &amp; Ghisolfi, come meglio si dirà in prosieguo di trattazione.</w:t>
      </w:r>
    </w:p>
    <w:p>
      <w:pPr>
        <w:pStyle w:val="BodyText"/>
        <w:spacing w:line="491" w:lineRule="auto"/>
        <w:ind w:left="400" w:right="2196"/>
        <w:jc w:val="both"/>
      </w:pPr>
      <w:r>
        <w:rPr>
          <w:w w:val="105"/>
        </w:rPr>
        <w:t>Tutto quanto precede sotto la condizione del Decreto di Omologazione, affinché i creditori concordatari possano beneficiare, in sede di esecuzione del piano di ripagamento, di una maggiore e migliore soddisfazione delle loro rispettive ragioni.</w:t>
      </w:r>
    </w:p>
    <w:p>
      <w:pPr>
        <w:pStyle w:val="BodyText"/>
        <w:ind w:left="476" w:right="2272"/>
        <w:jc w:val="center"/>
      </w:pPr>
      <w:r>
        <w:rPr>
          <w:w w:val="105"/>
        </w:rPr>
        <w:t>* * *</w:t>
      </w:r>
    </w:p>
    <w:p>
      <w:pPr>
        <w:spacing w:after="0"/>
        <w:jc w:val="center"/>
        <w:sectPr>
          <w:pgSz w:w="12240" w:h="15840"/>
          <w:pgMar w:header="0" w:footer="790" w:top="1500" w:bottom="980" w:left="1720" w:right="1200"/>
        </w:sectPr>
      </w:pPr>
    </w:p>
    <w:p>
      <w:pPr>
        <w:pStyle w:val="Heading2"/>
        <w:spacing w:before="105"/>
        <w:ind w:right="2273"/>
      </w:pPr>
      <w:bookmarkStart w:name="_TOC_250034" w:id="18"/>
      <w:bookmarkEnd w:id="18"/>
      <w:r>
        <w:rPr>
          <w:w w:val="105"/>
        </w:rPr>
        <w:t>CAPITOLO 5</w:t>
      </w:r>
    </w:p>
    <w:p>
      <w:pPr>
        <w:pStyle w:val="BodyText"/>
        <w:rPr>
          <w:b/>
          <w:sz w:val="23"/>
        </w:rPr>
      </w:pPr>
    </w:p>
    <w:p>
      <w:pPr>
        <w:pStyle w:val="Heading2"/>
        <w:spacing w:line="494" w:lineRule="auto"/>
        <w:ind w:left="475" w:right="2273"/>
      </w:pPr>
      <w:bookmarkStart w:name="_TOC_250033" w:id="19"/>
      <w:r>
        <w:rPr>
          <w:w w:val="105"/>
        </w:rPr>
        <w:t>Le</w:t>
      </w:r>
      <w:r>
        <w:rPr>
          <w:spacing w:val="-19"/>
          <w:w w:val="105"/>
        </w:rPr>
        <w:t> </w:t>
      </w:r>
      <w:r>
        <w:rPr>
          <w:w w:val="105"/>
        </w:rPr>
        <w:t>azioni</w:t>
      </w:r>
      <w:r>
        <w:rPr>
          <w:spacing w:val="-19"/>
          <w:w w:val="105"/>
        </w:rPr>
        <w:t> </w:t>
      </w:r>
      <w:r>
        <w:rPr>
          <w:w w:val="105"/>
        </w:rPr>
        <w:t>intraprese</w:t>
      </w:r>
      <w:r>
        <w:rPr>
          <w:spacing w:val="-19"/>
          <w:w w:val="105"/>
        </w:rPr>
        <w:t> </w:t>
      </w:r>
      <w:r>
        <w:rPr>
          <w:w w:val="105"/>
        </w:rPr>
        <w:t>dalla</w:t>
      </w:r>
      <w:r>
        <w:rPr>
          <w:spacing w:val="-19"/>
          <w:w w:val="105"/>
        </w:rPr>
        <w:t> </w:t>
      </w:r>
      <w:r>
        <w:rPr>
          <w:w w:val="105"/>
        </w:rPr>
        <w:t>Società</w:t>
      </w:r>
      <w:r>
        <w:rPr>
          <w:spacing w:val="-19"/>
          <w:w w:val="105"/>
        </w:rPr>
        <w:t> </w:t>
      </w:r>
      <w:r>
        <w:rPr>
          <w:w w:val="105"/>
        </w:rPr>
        <w:t>per</w:t>
      </w:r>
      <w:r>
        <w:rPr>
          <w:spacing w:val="-19"/>
          <w:w w:val="105"/>
        </w:rPr>
        <w:t> </w:t>
      </w:r>
      <w:r>
        <w:rPr>
          <w:w w:val="105"/>
        </w:rPr>
        <w:t>la</w:t>
      </w:r>
      <w:r>
        <w:rPr>
          <w:spacing w:val="-17"/>
          <w:w w:val="105"/>
        </w:rPr>
        <w:t> </w:t>
      </w:r>
      <w:r>
        <w:rPr>
          <w:w w:val="105"/>
        </w:rPr>
        <w:t>conservazione</w:t>
      </w:r>
      <w:r>
        <w:rPr>
          <w:spacing w:val="-19"/>
          <w:w w:val="105"/>
        </w:rPr>
        <w:t> </w:t>
      </w:r>
      <w:r>
        <w:rPr>
          <w:w w:val="105"/>
        </w:rPr>
        <w:t>del</w:t>
      </w:r>
      <w:r>
        <w:rPr>
          <w:spacing w:val="-19"/>
          <w:w w:val="105"/>
        </w:rPr>
        <w:t> </w:t>
      </w:r>
      <w:bookmarkEnd w:id="19"/>
      <w:r>
        <w:rPr>
          <w:w w:val="105"/>
        </w:rPr>
        <w:t>valore dell’azienda</w:t>
      </w:r>
    </w:p>
    <w:p>
      <w:pPr>
        <w:pStyle w:val="ListParagraph"/>
        <w:numPr>
          <w:ilvl w:val="1"/>
          <w:numId w:val="15"/>
        </w:numPr>
        <w:tabs>
          <w:tab w:pos="1078" w:val="left" w:leader="none"/>
        </w:tabs>
        <w:spacing w:line="251" w:lineRule="exact" w:before="0" w:after="0"/>
        <w:ind w:left="1077" w:right="0" w:hanging="677"/>
        <w:jc w:val="both"/>
        <w:rPr>
          <w:b/>
          <w:i/>
          <w:sz w:val="24"/>
        </w:rPr>
      </w:pPr>
      <w:r>
        <w:rPr>
          <w:b/>
          <w:i/>
          <w:sz w:val="24"/>
        </w:rPr>
        <w:t>L’Offerta  Versalis,  la  conseguente  valutazione  del</w:t>
      </w:r>
      <w:r>
        <w:rPr>
          <w:b/>
          <w:i/>
          <w:spacing w:val="28"/>
          <w:sz w:val="24"/>
        </w:rPr>
        <w:t> </w:t>
      </w:r>
      <w:r>
        <w:rPr>
          <w:b/>
          <w:i/>
          <w:sz w:val="24"/>
        </w:rPr>
        <w:t>Ramo</w:t>
      </w:r>
    </w:p>
    <w:p>
      <w:pPr>
        <w:pStyle w:val="BodyText"/>
        <w:spacing w:before="2"/>
        <w:rPr>
          <w:b/>
          <w:i/>
          <w:sz w:val="21"/>
        </w:rPr>
      </w:pPr>
    </w:p>
    <w:p>
      <w:pPr>
        <w:spacing w:before="0"/>
        <w:ind w:left="1078" w:right="0" w:firstLine="0"/>
        <w:jc w:val="left"/>
        <w:rPr>
          <w:b/>
          <w:i/>
          <w:sz w:val="24"/>
        </w:rPr>
      </w:pPr>
      <w:r>
        <w:rPr>
          <w:b/>
          <w:i/>
          <w:w w:val="95"/>
          <w:sz w:val="24"/>
        </w:rPr>
        <w:t>Biochemtex e l’Earn Out Versalis</w:t>
      </w:r>
    </w:p>
    <w:p>
      <w:pPr>
        <w:pStyle w:val="BodyText"/>
        <w:spacing w:before="8"/>
        <w:rPr>
          <w:b/>
          <w:i/>
        </w:rPr>
      </w:pPr>
    </w:p>
    <w:p>
      <w:pPr>
        <w:pStyle w:val="BodyText"/>
        <w:spacing w:line="491" w:lineRule="auto"/>
        <w:ind w:left="400" w:right="2194"/>
        <w:jc w:val="both"/>
      </w:pPr>
      <w:r>
        <w:rPr>
          <w:w w:val="105"/>
        </w:rPr>
        <w:t>All’esito del processo di M&amp;A sopra descritto, in data 2 febbraio 2018, si è tenuto un incontro con i legali di Versalis, i quali hanno preannunciato i contenuti dell’offerta ricevuta nella medesima giornata, avente ad oggetto i rami</w:t>
      </w:r>
      <w:r>
        <w:rPr>
          <w:spacing w:val="-5"/>
          <w:w w:val="105"/>
        </w:rPr>
        <w:t> </w:t>
      </w:r>
      <w:r>
        <w:rPr>
          <w:w w:val="105"/>
        </w:rPr>
        <w:t>delle</w:t>
      </w:r>
      <w:r>
        <w:rPr>
          <w:spacing w:val="-6"/>
          <w:w w:val="105"/>
        </w:rPr>
        <w:t> </w:t>
      </w:r>
      <w:r>
        <w:rPr>
          <w:w w:val="105"/>
        </w:rPr>
        <w:t>aziende</w:t>
      </w:r>
      <w:r>
        <w:rPr>
          <w:spacing w:val="-5"/>
          <w:w w:val="105"/>
        </w:rPr>
        <w:t> </w:t>
      </w:r>
      <w:r>
        <w:rPr>
          <w:w w:val="105"/>
        </w:rPr>
        <w:t>di</w:t>
      </w:r>
      <w:r>
        <w:rPr>
          <w:spacing w:val="-7"/>
          <w:w w:val="105"/>
        </w:rPr>
        <w:t> </w:t>
      </w:r>
      <w:r>
        <w:rPr>
          <w:w w:val="105"/>
        </w:rPr>
        <w:t>Biochemtex,</w:t>
      </w:r>
      <w:r>
        <w:rPr>
          <w:spacing w:val="-6"/>
          <w:w w:val="105"/>
        </w:rPr>
        <w:t> </w:t>
      </w:r>
      <w:r>
        <w:rPr>
          <w:w w:val="105"/>
        </w:rPr>
        <w:t>Beta,</w:t>
      </w:r>
      <w:r>
        <w:rPr>
          <w:spacing w:val="-5"/>
          <w:w w:val="105"/>
        </w:rPr>
        <w:t> </w:t>
      </w:r>
      <w:r>
        <w:rPr>
          <w:w w:val="105"/>
        </w:rPr>
        <w:t>IBP</w:t>
      </w:r>
      <w:r>
        <w:rPr>
          <w:spacing w:val="-5"/>
          <w:w w:val="105"/>
        </w:rPr>
        <w:t> </w:t>
      </w:r>
      <w:r>
        <w:rPr>
          <w:w w:val="105"/>
        </w:rPr>
        <w:t>e</w:t>
      </w:r>
      <w:r>
        <w:rPr>
          <w:spacing w:val="-5"/>
          <w:w w:val="105"/>
        </w:rPr>
        <w:t> </w:t>
      </w:r>
      <w:r>
        <w:rPr>
          <w:w w:val="105"/>
        </w:rPr>
        <w:t>IBPE</w:t>
      </w:r>
      <w:r>
        <w:rPr>
          <w:spacing w:val="-5"/>
          <w:w w:val="105"/>
        </w:rPr>
        <w:t> </w:t>
      </w:r>
      <w:r>
        <w:rPr>
          <w:w w:val="105"/>
        </w:rPr>
        <w:t>relativi</w:t>
      </w:r>
      <w:r>
        <w:rPr>
          <w:spacing w:val="-5"/>
          <w:w w:val="105"/>
        </w:rPr>
        <w:t> </w:t>
      </w:r>
      <w:r>
        <w:rPr>
          <w:w w:val="105"/>
        </w:rPr>
        <w:t>alle</w:t>
      </w:r>
      <w:r>
        <w:rPr>
          <w:spacing w:val="-5"/>
          <w:w w:val="105"/>
        </w:rPr>
        <w:t> </w:t>
      </w:r>
      <w:r>
        <w:rPr>
          <w:w w:val="105"/>
        </w:rPr>
        <w:t>Attività</w:t>
      </w:r>
      <w:r>
        <w:rPr>
          <w:spacing w:val="-6"/>
          <w:w w:val="105"/>
        </w:rPr>
        <w:t> </w:t>
      </w:r>
      <w:r>
        <w:rPr>
          <w:w w:val="105"/>
        </w:rPr>
        <w:t>Bio e/o alle Tecnologie Bio come meglio precisate e individuate nell’offerta, il tutto ad un prezzo di acquisto pari ad € 72 milioni (la “</w:t>
      </w:r>
      <w:r>
        <w:rPr>
          <w:b/>
          <w:w w:val="105"/>
        </w:rPr>
        <w:t>Prima Offerta</w:t>
      </w:r>
      <w:r>
        <w:rPr>
          <w:w w:val="105"/>
        </w:rPr>
        <w:t>”). In aggiunta, Versalis ha richiesto l’inclusione nel perimetro del contratto di locazione</w:t>
      </w:r>
      <w:r>
        <w:rPr>
          <w:spacing w:val="-8"/>
          <w:w w:val="105"/>
        </w:rPr>
        <w:t> </w:t>
      </w:r>
      <w:r>
        <w:rPr>
          <w:w w:val="105"/>
        </w:rPr>
        <w:t>finanziaria</w:t>
      </w:r>
      <w:r>
        <w:rPr>
          <w:spacing w:val="-7"/>
          <w:w w:val="105"/>
        </w:rPr>
        <w:t> </w:t>
      </w:r>
      <w:r>
        <w:rPr>
          <w:w w:val="105"/>
        </w:rPr>
        <w:t>relativo</w:t>
      </w:r>
      <w:r>
        <w:rPr>
          <w:spacing w:val="-8"/>
          <w:w w:val="105"/>
        </w:rPr>
        <w:t> </w:t>
      </w:r>
      <w:r>
        <w:rPr>
          <w:w w:val="105"/>
        </w:rPr>
        <w:t>alla</w:t>
      </w:r>
      <w:r>
        <w:rPr>
          <w:spacing w:val="-8"/>
          <w:w w:val="105"/>
        </w:rPr>
        <w:t> </w:t>
      </w:r>
      <w:r>
        <w:rPr>
          <w:w w:val="105"/>
        </w:rPr>
        <w:t>centrale</w:t>
      </w:r>
      <w:r>
        <w:rPr>
          <w:spacing w:val="-6"/>
          <w:w w:val="105"/>
        </w:rPr>
        <w:t> </w:t>
      </w:r>
      <w:r>
        <w:rPr>
          <w:w w:val="105"/>
        </w:rPr>
        <w:t>elettrica</w:t>
      </w:r>
      <w:r>
        <w:rPr>
          <w:spacing w:val="-7"/>
          <w:w w:val="105"/>
        </w:rPr>
        <w:t> </w:t>
      </w:r>
      <w:r>
        <w:rPr>
          <w:w w:val="105"/>
        </w:rPr>
        <w:t>assumendosi</w:t>
      </w:r>
      <w:r>
        <w:rPr>
          <w:spacing w:val="-6"/>
          <w:w w:val="105"/>
        </w:rPr>
        <w:t> </w:t>
      </w:r>
      <w:r>
        <w:rPr>
          <w:w w:val="105"/>
        </w:rPr>
        <w:t>un</w:t>
      </w:r>
      <w:r>
        <w:rPr>
          <w:spacing w:val="-8"/>
          <w:w w:val="105"/>
        </w:rPr>
        <w:t> </w:t>
      </w:r>
      <w:r>
        <w:rPr>
          <w:w w:val="105"/>
        </w:rPr>
        <w:t>impegno massimo</w:t>
      </w:r>
      <w:r>
        <w:rPr>
          <w:spacing w:val="-14"/>
          <w:w w:val="105"/>
        </w:rPr>
        <w:t> </w:t>
      </w:r>
      <w:r>
        <w:rPr>
          <w:w w:val="105"/>
        </w:rPr>
        <w:t>pari</w:t>
      </w:r>
      <w:r>
        <w:rPr>
          <w:spacing w:val="-14"/>
          <w:w w:val="105"/>
        </w:rPr>
        <w:t> </w:t>
      </w:r>
      <w:r>
        <w:rPr>
          <w:w w:val="105"/>
        </w:rPr>
        <w:t>a</w:t>
      </w:r>
      <w:r>
        <w:rPr>
          <w:spacing w:val="-14"/>
          <w:w w:val="105"/>
        </w:rPr>
        <w:t> </w:t>
      </w:r>
      <w:r>
        <w:rPr>
          <w:w w:val="105"/>
        </w:rPr>
        <w:t>€</w:t>
      </w:r>
      <w:r>
        <w:rPr>
          <w:spacing w:val="-14"/>
          <w:w w:val="105"/>
        </w:rPr>
        <w:t> </w:t>
      </w:r>
      <w:r>
        <w:rPr>
          <w:w w:val="105"/>
        </w:rPr>
        <w:t>18,6</w:t>
      </w:r>
      <w:r>
        <w:rPr>
          <w:spacing w:val="-14"/>
          <w:w w:val="105"/>
        </w:rPr>
        <w:t> </w:t>
      </w:r>
      <w:r>
        <w:rPr>
          <w:w w:val="105"/>
        </w:rPr>
        <w:t>milioni.</w:t>
      </w:r>
    </w:p>
    <w:p>
      <w:pPr>
        <w:pStyle w:val="BodyText"/>
        <w:spacing w:line="491" w:lineRule="auto"/>
        <w:ind w:left="400" w:right="2195"/>
        <w:jc w:val="both"/>
      </w:pPr>
      <w:r>
        <w:rPr>
          <w:w w:val="105"/>
        </w:rPr>
        <w:t>Successivamente alla ricezione della Prima Offerta, le Società e i propri consulenti si sono immediatamente attivate per ottenere un miglioramento del suo contenuto. In particolare, in data 8 febbraio 2018 si è tenuto un incontro con Versalis nell’ambito del quale è stata esaminata nel dettaglio</w:t>
      </w:r>
      <w:r>
        <w:rPr>
          <w:spacing w:val="-38"/>
          <w:w w:val="105"/>
        </w:rPr>
        <w:t> </w:t>
      </w:r>
      <w:r>
        <w:rPr>
          <w:w w:val="105"/>
        </w:rPr>
        <w:t>la Prima Offerta ed è stato richiesto il miglioramento significativo del prezzo </w:t>
      </w:r>
      <w:r>
        <w:rPr>
          <w:i/>
          <w:w w:val="105"/>
        </w:rPr>
        <w:t>upfront</w:t>
      </w:r>
      <w:r>
        <w:rPr>
          <w:i/>
          <w:spacing w:val="-9"/>
          <w:w w:val="105"/>
        </w:rPr>
        <w:t> </w:t>
      </w:r>
      <w:r>
        <w:rPr>
          <w:w w:val="105"/>
        </w:rPr>
        <w:t>ed</w:t>
      </w:r>
      <w:r>
        <w:rPr>
          <w:spacing w:val="-9"/>
          <w:w w:val="105"/>
        </w:rPr>
        <w:t> </w:t>
      </w:r>
      <w:r>
        <w:rPr>
          <w:w w:val="105"/>
        </w:rPr>
        <w:t>è</w:t>
      </w:r>
      <w:r>
        <w:rPr>
          <w:spacing w:val="-10"/>
          <w:w w:val="105"/>
        </w:rPr>
        <w:t> </w:t>
      </w:r>
      <w:r>
        <w:rPr>
          <w:w w:val="105"/>
        </w:rPr>
        <w:t>stata</w:t>
      </w:r>
      <w:r>
        <w:rPr>
          <w:spacing w:val="-10"/>
          <w:w w:val="105"/>
        </w:rPr>
        <w:t> </w:t>
      </w:r>
      <w:r>
        <w:rPr>
          <w:w w:val="105"/>
        </w:rPr>
        <w:t>ipotizzata</w:t>
      </w:r>
      <w:r>
        <w:rPr>
          <w:spacing w:val="-10"/>
          <w:w w:val="105"/>
        </w:rPr>
        <w:t> </w:t>
      </w:r>
      <w:r>
        <w:rPr>
          <w:w w:val="105"/>
        </w:rPr>
        <w:t>la</w:t>
      </w:r>
      <w:r>
        <w:rPr>
          <w:spacing w:val="-9"/>
          <w:w w:val="105"/>
        </w:rPr>
        <w:t> </w:t>
      </w:r>
      <w:r>
        <w:rPr>
          <w:w w:val="105"/>
        </w:rPr>
        <w:t>possibilità</w:t>
      </w:r>
      <w:r>
        <w:rPr>
          <w:spacing w:val="-9"/>
          <w:w w:val="105"/>
        </w:rPr>
        <w:t> </w:t>
      </w:r>
      <w:r>
        <w:rPr>
          <w:w w:val="105"/>
        </w:rPr>
        <w:t>di</w:t>
      </w:r>
      <w:r>
        <w:rPr>
          <w:spacing w:val="-9"/>
          <w:w w:val="105"/>
        </w:rPr>
        <w:t> </w:t>
      </w:r>
      <w:r>
        <w:rPr>
          <w:w w:val="105"/>
        </w:rPr>
        <w:t>strutturare</w:t>
      </w:r>
      <w:r>
        <w:rPr>
          <w:spacing w:val="-10"/>
          <w:w w:val="105"/>
        </w:rPr>
        <w:t> </w:t>
      </w:r>
      <w:r>
        <w:rPr>
          <w:w w:val="105"/>
        </w:rPr>
        <w:t>un</w:t>
      </w:r>
      <w:r>
        <w:rPr>
          <w:spacing w:val="-9"/>
          <w:w w:val="105"/>
        </w:rPr>
        <w:t> </w:t>
      </w:r>
      <w:r>
        <w:rPr>
          <w:w w:val="105"/>
        </w:rPr>
        <w:t>meccanismo</w:t>
      </w:r>
      <w:r>
        <w:rPr>
          <w:spacing w:val="-9"/>
          <w:w w:val="105"/>
        </w:rPr>
        <w:t> </w:t>
      </w:r>
      <w:r>
        <w:rPr>
          <w:w w:val="105"/>
        </w:rPr>
        <w:t>di</w:t>
      </w:r>
      <w:r>
        <w:rPr>
          <w:spacing w:val="-9"/>
          <w:w w:val="105"/>
        </w:rPr>
        <w:t> </w:t>
      </w:r>
      <w:r>
        <w:rPr>
          <w:i/>
          <w:w w:val="105"/>
        </w:rPr>
        <w:t>earn </w:t>
      </w:r>
      <w:r>
        <w:rPr>
          <w:i/>
          <w:w w:val="105"/>
        </w:rPr>
        <w:t>out</w:t>
      </w:r>
      <w:r>
        <w:rPr>
          <w:w w:val="105"/>
        </w:rPr>
        <w:t>,</w:t>
      </w:r>
      <w:r>
        <w:rPr>
          <w:spacing w:val="-16"/>
          <w:w w:val="105"/>
        </w:rPr>
        <w:t> </w:t>
      </w:r>
      <w:r>
        <w:rPr>
          <w:w w:val="105"/>
        </w:rPr>
        <w:t>se</w:t>
      </w:r>
      <w:r>
        <w:rPr>
          <w:spacing w:val="-16"/>
          <w:w w:val="105"/>
        </w:rPr>
        <w:t> </w:t>
      </w:r>
      <w:r>
        <w:rPr>
          <w:w w:val="105"/>
        </w:rPr>
        <w:t>del</w:t>
      </w:r>
      <w:r>
        <w:rPr>
          <w:spacing w:val="-16"/>
          <w:w w:val="105"/>
        </w:rPr>
        <w:t> </w:t>
      </w:r>
      <w:r>
        <w:rPr>
          <w:w w:val="105"/>
        </w:rPr>
        <w:t>caso</w:t>
      </w:r>
      <w:r>
        <w:rPr>
          <w:spacing w:val="-16"/>
          <w:w w:val="105"/>
        </w:rPr>
        <w:t> </w:t>
      </w:r>
      <w:r>
        <w:rPr>
          <w:w w:val="105"/>
        </w:rPr>
        <w:t>in</w:t>
      </w:r>
      <w:r>
        <w:rPr>
          <w:spacing w:val="-16"/>
          <w:w w:val="105"/>
        </w:rPr>
        <w:t> </w:t>
      </w:r>
      <w:r>
        <w:rPr>
          <w:w w:val="105"/>
        </w:rPr>
        <w:t>forma</w:t>
      </w:r>
      <w:r>
        <w:rPr>
          <w:spacing w:val="-17"/>
          <w:w w:val="105"/>
        </w:rPr>
        <w:t> </w:t>
      </w:r>
      <w:r>
        <w:rPr>
          <w:w w:val="105"/>
        </w:rPr>
        <w:t>di</w:t>
      </w:r>
      <w:r>
        <w:rPr>
          <w:spacing w:val="-16"/>
          <w:w w:val="105"/>
        </w:rPr>
        <w:t> </w:t>
      </w:r>
      <w:r>
        <w:rPr>
          <w:w w:val="105"/>
        </w:rPr>
        <w:t>strumenti</w:t>
      </w:r>
      <w:r>
        <w:rPr>
          <w:spacing w:val="-17"/>
          <w:w w:val="105"/>
        </w:rPr>
        <w:t> </w:t>
      </w:r>
      <w:r>
        <w:rPr>
          <w:w w:val="105"/>
        </w:rPr>
        <w:t>finanziari</w:t>
      </w:r>
      <w:r>
        <w:rPr>
          <w:spacing w:val="-17"/>
          <w:w w:val="105"/>
        </w:rPr>
        <w:t> </w:t>
      </w:r>
      <w:r>
        <w:rPr>
          <w:w w:val="105"/>
        </w:rPr>
        <w:t>partecipativi.</w:t>
      </w:r>
    </w:p>
    <w:p>
      <w:pPr>
        <w:pStyle w:val="BodyText"/>
        <w:spacing w:line="491" w:lineRule="auto" w:before="1"/>
        <w:ind w:left="400" w:right="2195"/>
        <w:jc w:val="both"/>
      </w:pPr>
      <w:r>
        <w:rPr>
          <w:w w:val="105"/>
        </w:rPr>
        <w:t>Il 14 febbraio 2018, Versalis ha preannunciato l’invio di un’offerta migliorativa, ricevuta in data 21 febbraio 2018 che, rispetto alla Prima </w:t>
      </w:r>
      <w:r>
        <w:rPr/>
        <w:t>Offerta prevede:</w:t>
      </w:r>
    </w:p>
    <w:p>
      <w:pPr>
        <w:spacing w:after="0" w:line="491" w:lineRule="auto"/>
        <w:jc w:val="both"/>
        <w:sectPr>
          <w:pgSz w:w="12240" w:h="15840"/>
          <w:pgMar w:header="0" w:footer="790" w:top="1500" w:bottom="980" w:left="1720" w:right="1200"/>
        </w:sectPr>
      </w:pPr>
    </w:p>
    <w:p>
      <w:pPr>
        <w:pStyle w:val="ListParagraph"/>
        <w:numPr>
          <w:ilvl w:val="2"/>
          <w:numId w:val="15"/>
        </w:numPr>
        <w:tabs>
          <w:tab w:pos="1078" w:val="left" w:leader="none"/>
          <w:tab w:pos="1079" w:val="left" w:leader="none"/>
        </w:tabs>
        <w:spacing w:line="240" w:lineRule="auto" w:before="105" w:after="0"/>
        <w:ind w:left="1078" w:right="0" w:hanging="340"/>
        <w:jc w:val="left"/>
        <w:rPr>
          <w:sz w:val="22"/>
        </w:rPr>
      </w:pPr>
      <w:r>
        <w:rPr>
          <w:w w:val="105"/>
          <w:sz w:val="22"/>
        </w:rPr>
        <w:t>l’incremento</w:t>
      </w:r>
      <w:r>
        <w:rPr>
          <w:spacing w:val="-18"/>
          <w:w w:val="105"/>
          <w:sz w:val="22"/>
        </w:rPr>
        <w:t> </w:t>
      </w:r>
      <w:r>
        <w:rPr>
          <w:w w:val="105"/>
          <w:sz w:val="22"/>
        </w:rPr>
        <w:t>del</w:t>
      </w:r>
      <w:r>
        <w:rPr>
          <w:spacing w:val="-17"/>
          <w:w w:val="105"/>
          <w:sz w:val="22"/>
        </w:rPr>
        <w:t> </w:t>
      </w:r>
      <w:r>
        <w:rPr>
          <w:w w:val="105"/>
          <w:sz w:val="22"/>
        </w:rPr>
        <w:t>prezzo</w:t>
      </w:r>
      <w:r>
        <w:rPr>
          <w:spacing w:val="-18"/>
          <w:w w:val="105"/>
          <w:sz w:val="22"/>
        </w:rPr>
        <w:t> </w:t>
      </w:r>
      <w:r>
        <w:rPr>
          <w:w w:val="105"/>
          <w:sz w:val="22"/>
        </w:rPr>
        <w:t>di</w:t>
      </w:r>
      <w:r>
        <w:rPr>
          <w:spacing w:val="-17"/>
          <w:w w:val="105"/>
          <w:sz w:val="22"/>
        </w:rPr>
        <w:t> </w:t>
      </w:r>
      <w:r>
        <w:rPr>
          <w:w w:val="105"/>
          <w:sz w:val="22"/>
        </w:rPr>
        <w:t>acquisto</w:t>
      </w:r>
      <w:r>
        <w:rPr>
          <w:spacing w:val="-18"/>
          <w:w w:val="105"/>
          <w:sz w:val="22"/>
        </w:rPr>
        <w:t> </w:t>
      </w:r>
      <w:r>
        <w:rPr>
          <w:w w:val="105"/>
          <w:sz w:val="22"/>
        </w:rPr>
        <w:t>ad</w:t>
      </w:r>
      <w:r>
        <w:rPr>
          <w:spacing w:val="-17"/>
          <w:w w:val="105"/>
          <w:sz w:val="22"/>
        </w:rPr>
        <w:t> </w:t>
      </w:r>
      <w:r>
        <w:rPr>
          <w:w w:val="105"/>
          <w:sz w:val="22"/>
        </w:rPr>
        <w:t>Euro</w:t>
      </w:r>
      <w:r>
        <w:rPr>
          <w:spacing w:val="-18"/>
          <w:w w:val="105"/>
          <w:sz w:val="22"/>
        </w:rPr>
        <w:t> </w:t>
      </w:r>
      <w:r>
        <w:rPr>
          <w:w w:val="105"/>
          <w:sz w:val="22"/>
        </w:rPr>
        <w:t>75</w:t>
      </w:r>
      <w:r>
        <w:rPr>
          <w:spacing w:val="-18"/>
          <w:w w:val="105"/>
          <w:sz w:val="22"/>
        </w:rPr>
        <w:t> </w:t>
      </w:r>
      <w:r>
        <w:rPr>
          <w:w w:val="105"/>
          <w:sz w:val="22"/>
        </w:rPr>
        <w:t>milioni;</w:t>
      </w:r>
    </w:p>
    <w:p>
      <w:pPr>
        <w:pStyle w:val="BodyText"/>
        <w:spacing w:before="3"/>
        <w:rPr>
          <w:sz w:val="23"/>
        </w:rPr>
      </w:pPr>
    </w:p>
    <w:p>
      <w:pPr>
        <w:pStyle w:val="ListParagraph"/>
        <w:numPr>
          <w:ilvl w:val="2"/>
          <w:numId w:val="15"/>
        </w:numPr>
        <w:tabs>
          <w:tab w:pos="1079" w:val="left" w:leader="none"/>
        </w:tabs>
        <w:spacing w:line="484" w:lineRule="auto" w:before="0" w:after="0"/>
        <w:ind w:left="1078" w:right="2194" w:hanging="340"/>
        <w:jc w:val="both"/>
        <w:rPr>
          <w:sz w:val="22"/>
        </w:rPr>
      </w:pPr>
      <w:r>
        <w:rPr>
          <w:w w:val="105"/>
          <w:sz w:val="22"/>
        </w:rPr>
        <w:t>l’inclusione di un meccanismo di earn out fino ad un massimo di Euro</w:t>
      </w:r>
      <w:r>
        <w:rPr>
          <w:spacing w:val="-15"/>
          <w:w w:val="105"/>
          <w:sz w:val="22"/>
        </w:rPr>
        <w:t> </w:t>
      </w:r>
      <w:r>
        <w:rPr>
          <w:w w:val="105"/>
          <w:sz w:val="22"/>
        </w:rPr>
        <w:t>20</w:t>
      </w:r>
      <w:r>
        <w:rPr>
          <w:spacing w:val="-15"/>
          <w:w w:val="105"/>
          <w:sz w:val="22"/>
        </w:rPr>
        <w:t> </w:t>
      </w:r>
      <w:r>
        <w:rPr>
          <w:w w:val="105"/>
          <w:sz w:val="22"/>
        </w:rPr>
        <w:t>milioni</w:t>
      </w:r>
      <w:r>
        <w:rPr>
          <w:spacing w:val="-15"/>
          <w:w w:val="105"/>
          <w:sz w:val="22"/>
        </w:rPr>
        <w:t> </w:t>
      </w:r>
      <w:r>
        <w:rPr>
          <w:w w:val="105"/>
          <w:sz w:val="22"/>
        </w:rPr>
        <w:t>relativo</w:t>
      </w:r>
      <w:r>
        <w:rPr>
          <w:spacing w:val="-15"/>
          <w:w w:val="105"/>
          <w:sz w:val="22"/>
        </w:rPr>
        <w:t> </w:t>
      </w:r>
      <w:r>
        <w:rPr>
          <w:w w:val="105"/>
          <w:sz w:val="22"/>
        </w:rPr>
        <w:t>alla</w:t>
      </w:r>
      <w:r>
        <w:rPr>
          <w:spacing w:val="-16"/>
          <w:w w:val="105"/>
          <w:sz w:val="22"/>
        </w:rPr>
        <w:t> </w:t>
      </w:r>
      <w:r>
        <w:rPr>
          <w:w w:val="105"/>
          <w:sz w:val="22"/>
        </w:rPr>
        <w:t>vendita</w:t>
      </w:r>
      <w:r>
        <w:rPr>
          <w:spacing w:val="-15"/>
          <w:w w:val="105"/>
          <w:sz w:val="22"/>
        </w:rPr>
        <w:t> </w:t>
      </w:r>
      <w:r>
        <w:rPr>
          <w:w w:val="105"/>
          <w:sz w:val="22"/>
        </w:rPr>
        <w:t>di</w:t>
      </w:r>
      <w:r>
        <w:rPr>
          <w:spacing w:val="-14"/>
          <w:w w:val="105"/>
          <w:sz w:val="22"/>
        </w:rPr>
        <w:t> </w:t>
      </w:r>
      <w:r>
        <w:rPr>
          <w:w w:val="105"/>
          <w:sz w:val="22"/>
        </w:rPr>
        <w:t>licenze</w:t>
      </w:r>
      <w:r>
        <w:rPr>
          <w:spacing w:val="-15"/>
          <w:w w:val="105"/>
          <w:sz w:val="22"/>
        </w:rPr>
        <w:t> </w:t>
      </w:r>
      <w:r>
        <w:rPr>
          <w:w w:val="105"/>
          <w:sz w:val="22"/>
        </w:rPr>
        <w:t>entro</w:t>
      </w:r>
      <w:r>
        <w:rPr>
          <w:spacing w:val="-15"/>
          <w:w w:val="105"/>
          <w:sz w:val="22"/>
        </w:rPr>
        <w:t> </w:t>
      </w:r>
      <w:r>
        <w:rPr>
          <w:w w:val="105"/>
          <w:sz w:val="22"/>
        </w:rPr>
        <w:t>il</w:t>
      </w:r>
      <w:r>
        <w:rPr>
          <w:spacing w:val="-15"/>
          <w:w w:val="105"/>
          <w:sz w:val="22"/>
        </w:rPr>
        <w:t> </w:t>
      </w:r>
      <w:r>
        <w:rPr>
          <w:w w:val="105"/>
          <w:sz w:val="22"/>
        </w:rPr>
        <w:t>2024</w:t>
      </w:r>
      <w:r>
        <w:rPr>
          <w:spacing w:val="-14"/>
          <w:w w:val="105"/>
          <w:sz w:val="22"/>
        </w:rPr>
        <w:t> </w:t>
      </w:r>
      <w:r>
        <w:rPr>
          <w:w w:val="105"/>
          <w:sz w:val="22"/>
        </w:rPr>
        <w:t>eccedenti la soglia di Euro 220 milioni, subordinato al Decreto di Omologazione</w:t>
      </w:r>
      <w:r>
        <w:rPr>
          <w:spacing w:val="-15"/>
          <w:w w:val="105"/>
          <w:sz w:val="22"/>
        </w:rPr>
        <w:t> </w:t>
      </w:r>
      <w:r>
        <w:rPr>
          <w:w w:val="105"/>
          <w:sz w:val="22"/>
        </w:rPr>
        <w:t>dei</w:t>
      </w:r>
      <w:r>
        <w:rPr>
          <w:spacing w:val="-13"/>
          <w:w w:val="105"/>
          <w:sz w:val="22"/>
        </w:rPr>
        <w:t> </w:t>
      </w:r>
      <w:r>
        <w:rPr>
          <w:w w:val="105"/>
          <w:sz w:val="22"/>
        </w:rPr>
        <w:t>concordati</w:t>
      </w:r>
      <w:r>
        <w:rPr>
          <w:spacing w:val="-15"/>
          <w:w w:val="105"/>
          <w:sz w:val="22"/>
        </w:rPr>
        <w:t> </w:t>
      </w:r>
      <w:r>
        <w:rPr>
          <w:w w:val="105"/>
          <w:sz w:val="22"/>
        </w:rPr>
        <w:t>preventivi</w:t>
      </w:r>
      <w:r>
        <w:rPr>
          <w:spacing w:val="-14"/>
          <w:w w:val="105"/>
          <w:sz w:val="22"/>
        </w:rPr>
        <w:t> </w:t>
      </w:r>
      <w:r>
        <w:rPr>
          <w:w w:val="105"/>
          <w:sz w:val="22"/>
        </w:rPr>
        <w:t>di</w:t>
      </w:r>
      <w:r>
        <w:rPr>
          <w:spacing w:val="-14"/>
          <w:w w:val="105"/>
          <w:sz w:val="22"/>
        </w:rPr>
        <w:t> </w:t>
      </w:r>
      <w:r>
        <w:rPr>
          <w:w w:val="105"/>
          <w:sz w:val="22"/>
        </w:rPr>
        <w:t>ciascuna</w:t>
      </w:r>
      <w:r>
        <w:rPr>
          <w:spacing w:val="-15"/>
          <w:w w:val="105"/>
          <w:sz w:val="22"/>
        </w:rPr>
        <w:t> </w:t>
      </w:r>
      <w:r>
        <w:rPr>
          <w:w w:val="105"/>
          <w:sz w:val="22"/>
        </w:rPr>
        <w:t>delle</w:t>
      </w:r>
      <w:r>
        <w:rPr>
          <w:spacing w:val="-15"/>
          <w:w w:val="105"/>
          <w:sz w:val="22"/>
        </w:rPr>
        <w:t> </w:t>
      </w:r>
      <w:r>
        <w:rPr>
          <w:w w:val="105"/>
          <w:sz w:val="22"/>
        </w:rPr>
        <w:t>Società</w:t>
      </w:r>
      <w:r>
        <w:rPr>
          <w:spacing w:val="-14"/>
          <w:w w:val="105"/>
          <w:sz w:val="22"/>
        </w:rPr>
        <w:t> </w:t>
      </w:r>
      <w:r>
        <w:rPr>
          <w:w w:val="105"/>
          <w:sz w:val="22"/>
        </w:rPr>
        <w:t>del Perimetro</w:t>
      </w:r>
      <w:r>
        <w:rPr>
          <w:spacing w:val="-25"/>
          <w:w w:val="105"/>
          <w:sz w:val="22"/>
        </w:rPr>
        <w:t> </w:t>
      </w:r>
      <w:r>
        <w:rPr>
          <w:w w:val="105"/>
          <w:sz w:val="22"/>
        </w:rPr>
        <w:t>Bio</w:t>
      </w:r>
      <w:r>
        <w:rPr>
          <w:spacing w:val="-23"/>
          <w:w w:val="105"/>
          <w:sz w:val="22"/>
        </w:rPr>
        <w:t> </w:t>
      </w:r>
      <w:r>
        <w:rPr>
          <w:w w:val="105"/>
          <w:sz w:val="22"/>
        </w:rPr>
        <w:t>(l’“</w:t>
      </w:r>
      <w:r>
        <w:rPr>
          <w:b/>
          <w:w w:val="105"/>
          <w:sz w:val="22"/>
        </w:rPr>
        <w:t>Earn</w:t>
      </w:r>
      <w:r>
        <w:rPr>
          <w:b/>
          <w:spacing w:val="-23"/>
          <w:w w:val="105"/>
          <w:sz w:val="22"/>
        </w:rPr>
        <w:t> </w:t>
      </w:r>
      <w:r>
        <w:rPr>
          <w:b/>
          <w:w w:val="105"/>
          <w:sz w:val="22"/>
        </w:rPr>
        <w:t>Out</w:t>
      </w:r>
      <w:r>
        <w:rPr>
          <w:b/>
          <w:spacing w:val="-23"/>
          <w:w w:val="105"/>
          <w:sz w:val="22"/>
        </w:rPr>
        <w:t> </w:t>
      </w:r>
      <w:r>
        <w:rPr>
          <w:b/>
          <w:w w:val="105"/>
          <w:sz w:val="22"/>
        </w:rPr>
        <w:t>Versalis</w:t>
      </w:r>
      <w:r>
        <w:rPr>
          <w:w w:val="105"/>
          <w:sz w:val="22"/>
        </w:rPr>
        <w:t>”);</w:t>
      </w:r>
    </w:p>
    <w:p>
      <w:pPr>
        <w:pStyle w:val="ListParagraph"/>
        <w:numPr>
          <w:ilvl w:val="2"/>
          <w:numId w:val="15"/>
        </w:numPr>
        <w:tabs>
          <w:tab w:pos="1079" w:val="left" w:leader="none"/>
        </w:tabs>
        <w:spacing w:line="463" w:lineRule="auto" w:before="8" w:after="0"/>
        <w:ind w:left="1078" w:right="2199" w:hanging="340"/>
        <w:jc w:val="both"/>
        <w:rPr>
          <w:sz w:val="22"/>
        </w:rPr>
      </w:pPr>
      <w:r>
        <w:rPr>
          <w:w w:val="105"/>
          <w:sz w:val="22"/>
        </w:rPr>
        <w:t>la conferma dell’accollo del contratto di locazione finanziaria stipulato</w:t>
      </w:r>
      <w:r>
        <w:rPr>
          <w:spacing w:val="-19"/>
          <w:w w:val="105"/>
          <w:sz w:val="22"/>
        </w:rPr>
        <w:t> </w:t>
      </w:r>
      <w:r>
        <w:rPr>
          <w:w w:val="105"/>
          <w:sz w:val="22"/>
        </w:rPr>
        <w:t>tra</w:t>
      </w:r>
      <w:r>
        <w:rPr>
          <w:spacing w:val="-19"/>
          <w:w w:val="105"/>
          <w:sz w:val="22"/>
        </w:rPr>
        <w:t> </w:t>
      </w:r>
      <w:r>
        <w:rPr>
          <w:w w:val="105"/>
          <w:sz w:val="22"/>
        </w:rPr>
        <w:t>Unicredit</w:t>
      </w:r>
      <w:r>
        <w:rPr>
          <w:spacing w:val="-19"/>
          <w:w w:val="105"/>
          <w:sz w:val="22"/>
        </w:rPr>
        <w:t> </w:t>
      </w:r>
      <w:r>
        <w:rPr>
          <w:w w:val="105"/>
          <w:sz w:val="22"/>
        </w:rPr>
        <w:t>Leasing</w:t>
      </w:r>
      <w:r>
        <w:rPr>
          <w:spacing w:val="-19"/>
          <w:w w:val="105"/>
          <w:sz w:val="22"/>
        </w:rPr>
        <w:t> </w:t>
      </w:r>
      <w:r>
        <w:rPr>
          <w:w w:val="105"/>
          <w:sz w:val="22"/>
        </w:rPr>
        <w:t>S.p.A.</w:t>
      </w:r>
      <w:r>
        <w:rPr>
          <w:spacing w:val="-19"/>
          <w:w w:val="105"/>
          <w:sz w:val="22"/>
        </w:rPr>
        <w:t> </w:t>
      </w:r>
      <w:r>
        <w:rPr>
          <w:w w:val="105"/>
          <w:sz w:val="22"/>
        </w:rPr>
        <w:t>e</w:t>
      </w:r>
      <w:r>
        <w:rPr>
          <w:spacing w:val="-19"/>
          <w:w w:val="105"/>
          <w:sz w:val="22"/>
        </w:rPr>
        <w:t> </w:t>
      </w:r>
      <w:r>
        <w:rPr>
          <w:w w:val="105"/>
          <w:sz w:val="22"/>
        </w:rPr>
        <w:t>IBP</w:t>
      </w:r>
      <w:r>
        <w:rPr>
          <w:spacing w:val="-19"/>
          <w:w w:val="105"/>
          <w:sz w:val="22"/>
        </w:rPr>
        <w:t> </w:t>
      </w:r>
      <w:r>
        <w:rPr>
          <w:w w:val="105"/>
          <w:sz w:val="22"/>
        </w:rPr>
        <w:t>Energia</w:t>
      </w:r>
      <w:r>
        <w:rPr>
          <w:spacing w:val="-18"/>
          <w:w w:val="105"/>
          <w:sz w:val="22"/>
        </w:rPr>
        <w:t> </w:t>
      </w:r>
      <w:r>
        <w:rPr>
          <w:w w:val="105"/>
          <w:sz w:val="22"/>
        </w:rPr>
        <w:t>S.r.l.;</w:t>
      </w:r>
    </w:p>
    <w:p>
      <w:pPr>
        <w:pStyle w:val="ListParagraph"/>
        <w:numPr>
          <w:ilvl w:val="2"/>
          <w:numId w:val="15"/>
        </w:numPr>
        <w:tabs>
          <w:tab w:pos="1079" w:val="left" w:leader="none"/>
        </w:tabs>
        <w:spacing w:line="489" w:lineRule="auto" w:before="30" w:after="0"/>
        <w:ind w:left="1078" w:right="2194" w:hanging="340"/>
        <w:jc w:val="both"/>
        <w:rPr>
          <w:sz w:val="22"/>
        </w:rPr>
      </w:pPr>
      <w:r>
        <w:rPr>
          <w:w w:val="105"/>
          <w:sz w:val="22"/>
        </w:rPr>
        <w:t>la possibilità di subentrare nel c.d. “Progetto Setha” e relativo finanziamento agevolato – senza obblighi di rimborso della parte di finanziamento erogata, restando tale rimborso a carico del Gruppo Bio, a determinate condizioni. In tal caso, il prezzo base di acquisto di € 75 milioni, verrebbe ridotto a € 68 milioni, ma vi sarebbe da parte di Versalis, l’accollo del debito privilegiato nei confronti del MISE per complessivi € 9 milioni. Ciò che determinerebbe un miglioramento complessivo dell’Offerta Versalis, di ulteriori € 2 milioni</w:t>
      </w:r>
    </w:p>
    <w:p>
      <w:pPr>
        <w:pStyle w:val="ListParagraph"/>
        <w:numPr>
          <w:ilvl w:val="2"/>
          <w:numId w:val="15"/>
        </w:numPr>
        <w:tabs>
          <w:tab w:pos="1079" w:val="left" w:leader="none"/>
        </w:tabs>
        <w:spacing w:line="465" w:lineRule="auto" w:before="3" w:after="0"/>
        <w:ind w:left="1078" w:right="2195" w:hanging="340"/>
        <w:jc w:val="both"/>
        <w:rPr>
          <w:sz w:val="22"/>
        </w:rPr>
      </w:pPr>
      <w:r>
        <w:rPr>
          <w:w w:val="105"/>
          <w:sz w:val="22"/>
        </w:rPr>
        <w:t>la conferma del così detto “</w:t>
      </w:r>
      <w:r>
        <w:rPr>
          <w:i/>
          <w:w w:val="105"/>
          <w:sz w:val="22"/>
        </w:rPr>
        <w:t>Right to Match</w:t>
      </w:r>
      <w:r>
        <w:rPr>
          <w:w w:val="105"/>
          <w:sz w:val="22"/>
        </w:rPr>
        <w:t>” o, in alternativa, del “diritto</w:t>
      </w:r>
      <w:r>
        <w:rPr>
          <w:spacing w:val="-27"/>
          <w:w w:val="105"/>
          <w:sz w:val="22"/>
        </w:rPr>
        <w:t> </w:t>
      </w:r>
      <w:r>
        <w:rPr>
          <w:w w:val="105"/>
          <w:sz w:val="22"/>
        </w:rPr>
        <w:t>di</w:t>
      </w:r>
      <w:r>
        <w:rPr>
          <w:spacing w:val="-27"/>
          <w:w w:val="105"/>
          <w:sz w:val="22"/>
        </w:rPr>
        <w:t> </w:t>
      </w:r>
      <w:r>
        <w:rPr>
          <w:w w:val="105"/>
          <w:sz w:val="22"/>
        </w:rPr>
        <w:t>rilancio”.</w:t>
      </w:r>
    </w:p>
    <w:p>
      <w:pPr>
        <w:pStyle w:val="BodyText"/>
        <w:spacing w:line="465" w:lineRule="auto" w:before="11"/>
        <w:ind w:left="400" w:right="2195"/>
        <w:jc w:val="both"/>
      </w:pPr>
      <w:r>
        <w:rPr/>
        <w:t>Alla luce di quanto precede, merita svolgere tre precisazioni rispetto </w:t>
      </w:r>
      <w:r>
        <w:rPr>
          <w:b/>
          <w:i/>
          <w:sz w:val="24"/>
        </w:rPr>
        <w:t>(i) </w:t>
      </w:r>
      <w:r>
        <w:rPr/>
        <w:t>alla valorizzazione del Ramo Beta e quantificazione della quota parte del corrispettivo dell’Offerta Versalis destinata ai creditori di Beta, </w:t>
      </w:r>
      <w:r>
        <w:rPr>
          <w:b/>
          <w:i/>
          <w:sz w:val="24"/>
        </w:rPr>
        <w:t>(ii) </w:t>
      </w:r>
      <w:r>
        <w:rPr/>
        <w:t>ai termini  di destinazione dell’Earn Out Versalis e </w:t>
      </w:r>
      <w:r>
        <w:rPr>
          <w:b/>
          <w:i/>
          <w:sz w:val="24"/>
        </w:rPr>
        <w:t>(iii) </w:t>
      </w:r>
      <w:r>
        <w:rPr/>
        <w:t>ai rapporti contrattuali che sono esclusi dal perimetro dell’Offerta </w:t>
      </w:r>
      <w:r>
        <w:rPr>
          <w:spacing w:val="19"/>
        </w:rPr>
        <w:t> </w:t>
      </w:r>
      <w:r>
        <w:rPr/>
        <w:t>Versalis.</w:t>
      </w:r>
    </w:p>
    <w:p>
      <w:pPr>
        <w:spacing w:after="0" w:line="465" w:lineRule="auto"/>
        <w:jc w:val="both"/>
        <w:sectPr>
          <w:pgSz w:w="12240" w:h="15840"/>
          <w:pgMar w:header="0" w:footer="790" w:top="1500" w:bottom="980" w:left="1720" w:right="1200"/>
        </w:sectPr>
      </w:pPr>
    </w:p>
    <w:p>
      <w:pPr>
        <w:pStyle w:val="BodyText"/>
        <w:spacing w:line="491" w:lineRule="auto" w:before="105"/>
        <w:ind w:left="400" w:right="2195"/>
        <w:jc w:val="both"/>
      </w:pPr>
      <w:r>
        <w:rPr>
          <w:w w:val="105"/>
        </w:rPr>
        <w:t>Quanto al primo punto, il valore “minimo” del Ramo Biochemtex – fermo l’eventuale </w:t>
      </w:r>
      <w:r>
        <w:rPr>
          <w:i/>
          <w:w w:val="105"/>
        </w:rPr>
        <w:t>plus </w:t>
      </w:r>
      <w:r>
        <w:rPr>
          <w:w w:val="105"/>
        </w:rPr>
        <w:t>valore che dovesse risultare all’esito dell’instauranda procedura di vendita competitiva – è stato determinato sulla base dell’Offerta Versalis, con allocazione della relativa quota parte di prezzo, secondo</w:t>
      </w:r>
      <w:r>
        <w:rPr>
          <w:spacing w:val="-13"/>
          <w:w w:val="105"/>
        </w:rPr>
        <w:t> </w:t>
      </w:r>
      <w:r>
        <w:rPr>
          <w:w w:val="105"/>
        </w:rPr>
        <w:t>quanto</w:t>
      </w:r>
      <w:r>
        <w:rPr>
          <w:spacing w:val="-13"/>
          <w:w w:val="105"/>
        </w:rPr>
        <w:t> </w:t>
      </w:r>
      <w:r>
        <w:rPr>
          <w:w w:val="105"/>
        </w:rPr>
        <w:t>indicato</w:t>
      </w:r>
      <w:r>
        <w:rPr>
          <w:spacing w:val="-12"/>
          <w:w w:val="105"/>
        </w:rPr>
        <w:t> </w:t>
      </w:r>
      <w:r>
        <w:rPr>
          <w:w w:val="105"/>
        </w:rPr>
        <w:t>nelle</w:t>
      </w:r>
      <w:r>
        <w:rPr>
          <w:spacing w:val="-13"/>
          <w:w w:val="105"/>
        </w:rPr>
        <w:t> </w:t>
      </w:r>
      <w:r>
        <w:rPr>
          <w:w w:val="105"/>
        </w:rPr>
        <w:t>perizie,</w:t>
      </w:r>
      <w:r>
        <w:rPr>
          <w:spacing w:val="-11"/>
          <w:w w:val="105"/>
        </w:rPr>
        <w:t> </w:t>
      </w:r>
      <w:r>
        <w:rPr>
          <w:w w:val="105"/>
        </w:rPr>
        <w:t>redatte</w:t>
      </w:r>
      <w:r>
        <w:rPr>
          <w:spacing w:val="-12"/>
          <w:w w:val="105"/>
        </w:rPr>
        <w:t> </w:t>
      </w:r>
      <w:r>
        <w:rPr>
          <w:w w:val="105"/>
        </w:rPr>
        <w:t>dai</w:t>
      </w:r>
      <w:r>
        <w:rPr>
          <w:spacing w:val="-11"/>
          <w:w w:val="105"/>
        </w:rPr>
        <w:t> </w:t>
      </w:r>
      <w:r>
        <w:rPr>
          <w:w w:val="105"/>
        </w:rPr>
        <w:t>professionisti</w:t>
      </w:r>
      <w:r>
        <w:rPr>
          <w:spacing w:val="-13"/>
          <w:w w:val="105"/>
        </w:rPr>
        <w:t> </w:t>
      </w:r>
      <w:r>
        <w:rPr>
          <w:w w:val="105"/>
        </w:rPr>
        <w:t>indipendenti incaricati dalla Gruppo Mossi &amp; Ghisolfi, vale a dire il il prof. dott. Mario Cattaneo e il prof. dott. Giovanni Petrella, con riguardo alla valutazione economica</w:t>
      </w:r>
      <w:r>
        <w:rPr>
          <w:spacing w:val="-12"/>
          <w:w w:val="105"/>
        </w:rPr>
        <w:t> </w:t>
      </w:r>
      <w:r>
        <w:rPr>
          <w:w w:val="105"/>
        </w:rPr>
        <w:t>(la</w:t>
      </w:r>
      <w:r>
        <w:rPr>
          <w:spacing w:val="-10"/>
          <w:w w:val="105"/>
        </w:rPr>
        <w:t> </w:t>
      </w:r>
      <w:r>
        <w:rPr>
          <w:w w:val="105"/>
        </w:rPr>
        <w:t>“</w:t>
      </w:r>
      <w:r>
        <w:rPr>
          <w:b/>
          <w:w w:val="105"/>
        </w:rPr>
        <w:t>Perizia</w:t>
      </w:r>
      <w:r>
        <w:rPr>
          <w:b/>
          <w:spacing w:val="-5"/>
          <w:w w:val="105"/>
        </w:rPr>
        <w:t> </w:t>
      </w:r>
      <w:r>
        <w:rPr>
          <w:b/>
          <w:w w:val="105"/>
        </w:rPr>
        <w:t>Valutativa</w:t>
      </w:r>
      <w:r>
        <w:rPr>
          <w:w w:val="105"/>
        </w:rPr>
        <w:t>”),</w:t>
      </w:r>
      <w:r>
        <w:rPr>
          <w:spacing w:val="-10"/>
          <w:w w:val="105"/>
        </w:rPr>
        <w:t> </w:t>
      </w:r>
      <w:r>
        <w:rPr>
          <w:w w:val="105"/>
        </w:rPr>
        <w:t>e</w:t>
      </w:r>
      <w:r>
        <w:rPr>
          <w:spacing w:val="-11"/>
          <w:w w:val="105"/>
        </w:rPr>
        <w:t> </w:t>
      </w:r>
      <w:r>
        <w:rPr>
          <w:w w:val="105"/>
        </w:rPr>
        <w:t>l’ing.</w:t>
      </w:r>
      <w:r>
        <w:rPr>
          <w:spacing w:val="-11"/>
          <w:w w:val="105"/>
        </w:rPr>
        <w:t> </w:t>
      </w:r>
      <w:r>
        <w:rPr>
          <w:w w:val="105"/>
        </w:rPr>
        <w:t>Giacobbe</w:t>
      </w:r>
      <w:r>
        <w:rPr>
          <w:spacing w:val="-11"/>
          <w:w w:val="105"/>
        </w:rPr>
        <w:t> </w:t>
      </w:r>
      <w:r>
        <w:rPr>
          <w:w w:val="105"/>
        </w:rPr>
        <w:t>Braccio,</w:t>
      </w:r>
      <w:r>
        <w:rPr>
          <w:spacing w:val="-10"/>
          <w:w w:val="105"/>
        </w:rPr>
        <w:t> </w:t>
      </w:r>
      <w:r>
        <w:rPr>
          <w:w w:val="105"/>
        </w:rPr>
        <w:t>il</w:t>
      </w:r>
      <w:r>
        <w:rPr>
          <w:spacing w:val="-11"/>
          <w:w w:val="105"/>
        </w:rPr>
        <w:t> </w:t>
      </w:r>
      <w:r>
        <w:rPr>
          <w:w w:val="105"/>
        </w:rPr>
        <w:t>dott.</w:t>
      </w:r>
      <w:r>
        <w:rPr>
          <w:spacing w:val="-9"/>
          <w:w w:val="105"/>
        </w:rPr>
        <w:t> </w:t>
      </w:r>
      <w:r>
        <w:rPr>
          <w:w w:val="105"/>
        </w:rPr>
        <w:t>Vito Pignatelli e la dott.ssa Isabella De Bari, con riguardo agli aspetti tecnici del Processo</w:t>
      </w:r>
      <w:r>
        <w:rPr>
          <w:spacing w:val="-10"/>
          <w:w w:val="105"/>
        </w:rPr>
        <w:t> </w:t>
      </w:r>
      <w:r>
        <w:rPr>
          <w:w w:val="105"/>
        </w:rPr>
        <w:t>Bio</w:t>
      </w:r>
      <w:r>
        <w:rPr>
          <w:spacing w:val="-12"/>
          <w:w w:val="105"/>
        </w:rPr>
        <w:t> </w:t>
      </w:r>
      <w:r>
        <w:rPr>
          <w:w w:val="105"/>
        </w:rPr>
        <w:t>(la</w:t>
      </w:r>
      <w:r>
        <w:rPr>
          <w:spacing w:val="-11"/>
          <w:w w:val="105"/>
        </w:rPr>
        <w:t> </w:t>
      </w:r>
      <w:r>
        <w:rPr>
          <w:w w:val="105"/>
        </w:rPr>
        <w:t>“</w:t>
      </w:r>
      <w:r>
        <w:rPr>
          <w:b/>
          <w:w w:val="105"/>
        </w:rPr>
        <w:t>Perizia</w:t>
      </w:r>
      <w:r>
        <w:rPr>
          <w:b/>
          <w:spacing w:val="-4"/>
          <w:w w:val="105"/>
        </w:rPr>
        <w:t> </w:t>
      </w:r>
      <w:r>
        <w:rPr>
          <w:b/>
          <w:w w:val="105"/>
        </w:rPr>
        <w:t>Tecnica</w:t>
      </w:r>
      <w:r>
        <w:rPr>
          <w:w w:val="105"/>
        </w:rPr>
        <w:t>”)</w:t>
      </w:r>
      <w:r>
        <w:rPr>
          <w:spacing w:val="-10"/>
          <w:w w:val="105"/>
        </w:rPr>
        <w:t> </w:t>
      </w:r>
      <w:r>
        <w:rPr>
          <w:w w:val="105"/>
        </w:rPr>
        <w:t>e,</w:t>
      </w:r>
      <w:r>
        <w:rPr>
          <w:spacing w:val="-10"/>
          <w:w w:val="105"/>
        </w:rPr>
        <w:t> </w:t>
      </w:r>
      <w:r>
        <w:rPr>
          <w:w w:val="105"/>
        </w:rPr>
        <w:t>unitamente</w:t>
      </w:r>
      <w:r>
        <w:rPr>
          <w:spacing w:val="-10"/>
          <w:w w:val="105"/>
        </w:rPr>
        <w:t> </w:t>
      </w:r>
      <w:r>
        <w:rPr>
          <w:w w:val="105"/>
        </w:rPr>
        <w:t>alla</w:t>
      </w:r>
      <w:r>
        <w:rPr>
          <w:spacing w:val="-10"/>
          <w:w w:val="105"/>
        </w:rPr>
        <w:t> </w:t>
      </w:r>
      <w:r>
        <w:rPr>
          <w:w w:val="105"/>
        </w:rPr>
        <w:t>Perizia</w:t>
      </w:r>
      <w:r>
        <w:rPr>
          <w:spacing w:val="-10"/>
          <w:w w:val="105"/>
        </w:rPr>
        <w:t> </w:t>
      </w:r>
      <w:r>
        <w:rPr>
          <w:w w:val="105"/>
        </w:rPr>
        <w:t>Valutativa,</w:t>
      </w:r>
      <w:r>
        <w:rPr>
          <w:spacing w:val="-10"/>
          <w:w w:val="105"/>
        </w:rPr>
        <w:t> </w:t>
      </w:r>
      <w:r>
        <w:rPr>
          <w:w w:val="105"/>
        </w:rPr>
        <w:t>la “</w:t>
      </w:r>
      <w:r>
        <w:rPr>
          <w:b/>
          <w:w w:val="105"/>
        </w:rPr>
        <w:t>Perizia</w:t>
      </w:r>
      <w:r>
        <w:rPr>
          <w:b/>
          <w:spacing w:val="-15"/>
          <w:w w:val="105"/>
        </w:rPr>
        <w:t> </w:t>
      </w:r>
      <w:r>
        <w:rPr>
          <w:b/>
          <w:w w:val="105"/>
        </w:rPr>
        <w:t>Bio</w:t>
      </w:r>
      <w:r>
        <w:rPr>
          <w:w w:val="105"/>
        </w:rPr>
        <w:t>”,</w:t>
      </w:r>
      <w:r>
        <w:rPr>
          <w:spacing w:val="-14"/>
          <w:w w:val="105"/>
        </w:rPr>
        <w:t> </w:t>
      </w:r>
      <w:r>
        <w:rPr>
          <w:b/>
          <w:w w:val="105"/>
          <w:u w:val="single"/>
        </w:rPr>
        <w:t>docc.</w:t>
      </w:r>
      <w:r>
        <w:rPr>
          <w:b/>
          <w:spacing w:val="-15"/>
          <w:w w:val="105"/>
          <w:u w:val="single"/>
        </w:rPr>
        <w:t> </w:t>
      </w:r>
      <w:r>
        <w:rPr>
          <w:b/>
          <w:w w:val="105"/>
          <w:u w:val="single"/>
        </w:rPr>
        <w:t>72</w:t>
      </w:r>
      <w:r>
        <w:rPr>
          <w:b/>
          <w:spacing w:val="-14"/>
          <w:w w:val="105"/>
          <w:u w:val="single"/>
        </w:rPr>
        <w:t> </w:t>
      </w:r>
      <w:r>
        <w:rPr>
          <w:b/>
          <w:w w:val="105"/>
          <w:u w:val="single"/>
        </w:rPr>
        <w:t>e</w:t>
      </w:r>
      <w:r>
        <w:rPr>
          <w:b/>
          <w:spacing w:val="-15"/>
          <w:w w:val="105"/>
          <w:u w:val="single"/>
        </w:rPr>
        <w:t> </w:t>
      </w:r>
      <w:r>
        <w:rPr>
          <w:b/>
          <w:w w:val="105"/>
          <w:u w:val="single"/>
        </w:rPr>
        <w:t>73</w:t>
      </w:r>
      <w:r>
        <w:rPr>
          <w:w w:val="105"/>
        </w:rPr>
        <w:t>).</w:t>
      </w:r>
    </w:p>
    <w:p>
      <w:pPr>
        <w:pStyle w:val="BodyText"/>
        <w:spacing w:line="491" w:lineRule="auto"/>
        <w:ind w:left="400" w:right="2195"/>
        <w:jc w:val="both"/>
      </w:pPr>
      <w:r>
        <w:rPr>
          <w:w w:val="105"/>
        </w:rPr>
        <w:t>Quanto al secondo punto, va precisato che l’Earn Out Versalis rappresenta una fonte attiva del concordato valorizzata sino ad un massimo di Euro 20 milioni e collegata all’eventuale vendita di licenze entro il 2024 eccedenti la soglia di Euro 220 milioni.</w:t>
      </w:r>
    </w:p>
    <w:p>
      <w:pPr>
        <w:pStyle w:val="BodyText"/>
        <w:spacing w:line="491" w:lineRule="auto" w:before="1"/>
        <w:ind w:left="400" w:right="2196"/>
        <w:jc w:val="both"/>
      </w:pPr>
      <w:r>
        <w:rPr>
          <w:w w:val="105"/>
        </w:rPr>
        <w:t>Quanto al terzo ed ultimo punto, il Piano (cfr. Paragrafo 6) distingue analiticamente tra contratti oggetto di trasferimento e contratti non oggetto di trasferimento, vedendo stanziati, sulla base di analisi legale e finanziaria (anche considerate nell’Attestazione), con appostazione, ove necessario, di adeguati fondi rischi.</w:t>
      </w:r>
    </w:p>
    <w:p>
      <w:pPr>
        <w:pStyle w:val="BodyText"/>
        <w:spacing w:line="491" w:lineRule="auto"/>
        <w:ind w:left="400" w:right="2196"/>
        <w:jc w:val="both"/>
      </w:pPr>
      <w:r>
        <w:rPr>
          <w:w w:val="105"/>
        </w:rPr>
        <w:t>A quest’ultimo riguardo e con particolare attenzione alle attività collegate a finanziamenti europei, la Società ha condotto approfondite analisi legali relativamente</w:t>
      </w:r>
      <w:r>
        <w:rPr>
          <w:spacing w:val="-18"/>
          <w:w w:val="105"/>
        </w:rPr>
        <w:t> </w:t>
      </w:r>
      <w:r>
        <w:rPr>
          <w:w w:val="105"/>
        </w:rPr>
        <w:t>al</w:t>
      </w:r>
      <w:r>
        <w:rPr>
          <w:spacing w:val="-18"/>
          <w:w w:val="105"/>
        </w:rPr>
        <w:t> </w:t>
      </w:r>
      <w:r>
        <w:rPr>
          <w:w w:val="105"/>
        </w:rPr>
        <w:t>profilo</w:t>
      </w:r>
      <w:r>
        <w:rPr>
          <w:spacing w:val="-18"/>
          <w:w w:val="105"/>
        </w:rPr>
        <w:t> </w:t>
      </w:r>
      <w:r>
        <w:rPr>
          <w:w w:val="105"/>
        </w:rPr>
        <w:t>del</w:t>
      </w:r>
      <w:r>
        <w:rPr>
          <w:spacing w:val="-18"/>
          <w:w w:val="105"/>
        </w:rPr>
        <w:t> </w:t>
      </w:r>
      <w:r>
        <w:rPr>
          <w:w w:val="105"/>
        </w:rPr>
        <w:t>rischio</w:t>
      </w:r>
      <w:r>
        <w:rPr>
          <w:spacing w:val="-18"/>
          <w:w w:val="105"/>
        </w:rPr>
        <w:t> </w:t>
      </w:r>
      <w:r>
        <w:rPr>
          <w:w w:val="105"/>
        </w:rPr>
        <w:t>di</w:t>
      </w:r>
      <w:r>
        <w:rPr>
          <w:spacing w:val="-19"/>
          <w:w w:val="105"/>
        </w:rPr>
        <w:t> </w:t>
      </w:r>
      <w:r>
        <w:rPr>
          <w:w w:val="105"/>
        </w:rPr>
        <w:t>richiesta</w:t>
      </w:r>
      <w:r>
        <w:rPr>
          <w:spacing w:val="-19"/>
          <w:w w:val="105"/>
        </w:rPr>
        <w:t> </w:t>
      </w:r>
      <w:r>
        <w:rPr>
          <w:w w:val="105"/>
        </w:rPr>
        <w:t>di</w:t>
      </w:r>
      <w:r>
        <w:rPr>
          <w:spacing w:val="-18"/>
          <w:w w:val="105"/>
        </w:rPr>
        <w:t> </w:t>
      </w:r>
      <w:r>
        <w:rPr>
          <w:w w:val="105"/>
        </w:rPr>
        <w:t>loro</w:t>
      </w:r>
      <w:r>
        <w:rPr>
          <w:spacing w:val="-18"/>
          <w:w w:val="105"/>
        </w:rPr>
        <w:t> </w:t>
      </w:r>
      <w:r>
        <w:rPr>
          <w:w w:val="105"/>
        </w:rPr>
        <w:t>restituzione,</w:t>
      </w:r>
      <w:r>
        <w:rPr>
          <w:spacing w:val="-18"/>
          <w:w w:val="105"/>
        </w:rPr>
        <w:t> </w:t>
      </w:r>
      <w:r>
        <w:rPr>
          <w:w w:val="105"/>
        </w:rPr>
        <w:t>giungendo alle</w:t>
      </w:r>
      <w:r>
        <w:rPr>
          <w:spacing w:val="-18"/>
          <w:w w:val="105"/>
        </w:rPr>
        <w:t> </w:t>
      </w:r>
      <w:r>
        <w:rPr>
          <w:w w:val="105"/>
        </w:rPr>
        <w:t>conclusioni</w:t>
      </w:r>
      <w:r>
        <w:rPr>
          <w:spacing w:val="-19"/>
          <w:w w:val="105"/>
        </w:rPr>
        <w:t> </w:t>
      </w:r>
      <w:r>
        <w:rPr>
          <w:w w:val="105"/>
        </w:rPr>
        <w:t>che</w:t>
      </w:r>
      <w:r>
        <w:rPr>
          <w:spacing w:val="-18"/>
          <w:w w:val="105"/>
        </w:rPr>
        <w:t> </w:t>
      </w:r>
      <w:r>
        <w:rPr>
          <w:w w:val="105"/>
        </w:rPr>
        <w:t>seguono</w:t>
      </w:r>
      <w:r>
        <w:rPr>
          <w:spacing w:val="-18"/>
          <w:w w:val="105"/>
        </w:rPr>
        <w:t> </w:t>
      </w:r>
      <w:r>
        <w:rPr>
          <w:w w:val="105"/>
        </w:rPr>
        <w:t>e</w:t>
      </w:r>
      <w:r>
        <w:rPr>
          <w:spacing w:val="-18"/>
          <w:w w:val="105"/>
        </w:rPr>
        <w:t> </w:t>
      </w:r>
      <w:r>
        <w:rPr>
          <w:w w:val="105"/>
        </w:rPr>
        <w:t>che</w:t>
      </w:r>
      <w:r>
        <w:rPr>
          <w:spacing w:val="-18"/>
          <w:w w:val="105"/>
        </w:rPr>
        <w:t> </w:t>
      </w:r>
      <w:r>
        <w:rPr>
          <w:w w:val="105"/>
        </w:rPr>
        <w:t>sono</w:t>
      </w:r>
      <w:r>
        <w:rPr>
          <w:spacing w:val="-18"/>
          <w:w w:val="105"/>
        </w:rPr>
        <w:t> </w:t>
      </w:r>
      <w:r>
        <w:rPr>
          <w:w w:val="105"/>
        </w:rPr>
        <w:t>state</w:t>
      </w:r>
      <w:r>
        <w:rPr>
          <w:spacing w:val="-18"/>
          <w:w w:val="105"/>
        </w:rPr>
        <w:t> </w:t>
      </w:r>
      <w:r>
        <w:rPr>
          <w:w w:val="105"/>
        </w:rPr>
        <w:t>condivise</w:t>
      </w:r>
      <w:r>
        <w:rPr>
          <w:spacing w:val="-18"/>
          <w:w w:val="105"/>
        </w:rPr>
        <w:t> </w:t>
      </w:r>
      <w:r>
        <w:rPr>
          <w:w w:val="105"/>
        </w:rPr>
        <w:t>dagli</w:t>
      </w:r>
      <w:r>
        <w:rPr>
          <w:spacing w:val="-18"/>
          <w:w w:val="105"/>
        </w:rPr>
        <w:t> </w:t>
      </w:r>
      <w:r>
        <w:rPr>
          <w:w w:val="105"/>
        </w:rPr>
        <w:t>attestatori.</w:t>
      </w:r>
    </w:p>
    <w:p>
      <w:pPr>
        <w:spacing w:after="0" w:line="491" w:lineRule="auto"/>
        <w:jc w:val="both"/>
        <w:sectPr>
          <w:pgSz w:w="12240" w:h="15840"/>
          <w:pgMar w:header="0" w:footer="790" w:top="1500" w:bottom="980" w:left="1720" w:right="1200"/>
        </w:sectPr>
      </w:pPr>
    </w:p>
    <w:p>
      <w:pPr>
        <w:pStyle w:val="BodyText"/>
        <w:spacing w:before="105"/>
        <w:ind w:left="400"/>
      </w:pPr>
      <w:r>
        <w:rPr/>
        <w:t>In particolare:</w:t>
      </w:r>
    </w:p>
    <w:p>
      <w:pPr>
        <w:pStyle w:val="BodyText"/>
        <w:spacing w:before="1"/>
        <w:rPr>
          <w:sz w:val="23"/>
        </w:rPr>
      </w:pPr>
    </w:p>
    <w:p>
      <w:pPr>
        <w:pStyle w:val="ListParagraph"/>
        <w:numPr>
          <w:ilvl w:val="0"/>
          <w:numId w:val="16"/>
        </w:numPr>
        <w:tabs>
          <w:tab w:pos="935" w:val="left" w:leader="none"/>
        </w:tabs>
        <w:spacing w:line="487" w:lineRule="auto" w:before="0" w:after="0"/>
        <w:ind w:left="934" w:right="2195" w:hanging="266"/>
        <w:jc w:val="both"/>
        <w:rPr>
          <w:i/>
          <w:sz w:val="22"/>
        </w:rPr>
      </w:pPr>
      <w:r>
        <w:rPr>
          <w:w w:val="105"/>
          <w:sz w:val="22"/>
        </w:rPr>
        <w:t>l’Offerta Versalis prevede espressamente che “</w:t>
      </w:r>
      <w:r>
        <w:rPr>
          <w:i/>
          <w:w w:val="105"/>
          <w:sz w:val="22"/>
        </w:rPr>
        <w:t>fanno parte delle Aziende </w:t>
      </w:r>
      <w:r>
        <w:rPr>
          <w:i/>
          <w:w w:val="105"/>
          <w:sz w:val="22"/>
        </w:rPr>
        <w:t>Bio e sono pertanto oggetto della presente Offerta e saranno trasferiti a all’Offerente, tutti i singoli beni, diritti e rapporti inerenti e/o funzionali alle Attività Bio e/o alle Tecnologie Bio (complessivamente i “Beni e Rapporti Trasferiti”, ivi inclusi, a titolo esemplificativo e non esaustivo …: (vii) Finanziamenti agevolati: la documentazione, i progetti (incluso lo stato di avanzamento sino alla Data di Esecuzione) … i rapporti, i contratti, le convenzioni e  ogni altro elemento  relativo e/o necessari al  mantenimento    </w:t>
      </w:r>
      <w:r>
        <w:rPr>
          <w:i/>
          <w:spacing w:val="55"/>
          <w:w w:val="105"/>
          <w:sz w:val="22"/>
        </w:rPr>
        <w:t> </w:t>
      </w:r>
      <w:r>
        <w:rPr>
          <w:i/>
          <w:w w:val="105"/>
          <w:sz w:val="22"/>
        </w:rPr>
        <w:t>dei</w:t>
      </w:r>
    </w:p>
    <w:p>
      <w:pPr>
        <w:spacing w:line="491" w:lineRule="auto" w:before="6"/>
        <w:ind w:left="934" w:right="2194" w:firstLine="0"/>
        <w:jc w:val="both"/>
        <w:rPr>
          <w:sz w:val="22"/>
        </w:rPr>
      </w:pPr>
      <w:r>
        <w:rPr>
          <w:i/>
          <w:w w:val="105"/>
          <w:sz w:val="22"/>
        </w:rPr>
        <w:t>finanziamenti</w:t>
      </w:r>
      <w:r>
        <w:rPr>
          <w:i/>
          <w:spacing w:val="-13"/>
          <w:w w:val="105"/>
          <w:sz w:val="22"/>
        </w:rPr>
        <w:t> </w:t>
      </w:r>
      <w:r>
        <w:rPr>
          <w:i/>
          <w:w w:val="105"/>
          <w:sz w:val="22"/>
        </w:rPr>
        <w:t>agevolati,</w:t>
      </w:r>
      <w:r>
        <w:rPr>
          <w:i/>
          <w:spacing w:val="-14"/>
          <w:w w:val="105"/>
          <w:sz w:val="22"/>
        </w:rPr>
        <w:t> </w:t>
      </w:r>
      <w:r>
        <w:rPr>
          <w:i/>
          <w:w w:val="105"/>
          <w:sz w:val="22"/>
        </w:rPr>
        <w:t>sovvenzioni,</w:t>
      </w:r>
      <w:r>
        <w:rPr>
          <w:i/>
          <w:spacing w:val="-15"/>
          <w:w w:val="105"/>
          <w:sz w:val="22"/>
        </w:rPr>
        <w:t> </w:t>
      </w:r>
      <w:r>
        <w:rPr>
          <w:w w:val="105"/>
          <w:sz w:val="22"/>
          <w:u w:val="single"/>
        </w:rPr>
        <w:t>grant</w:t>
      </w:r>
      <w:r>
        <w:rPr>
          <w:i/>
          <w:w w:val="105"/>
          <w:sz w:val="22"/>
        </w:rPr>
        <w:t>,</w:t>
      </w:r>
      <w:r>
        <w:rPr>
          <w:i/>
          <w:spacing w:val="-13"/>
          <w:w w:val="105"/>
          <w:sz w:val="22"/>
        </w:rPr>
        <w:t> </w:t>
      </w:r>
      <w:r>
        <w:rPr>
          <w:i/>
          <w:w w:val="105"/>
          <w:sz w:val="22"/>
        </w:rPr>
        <w:t>finanziamenti</w:t>
      </w:r>
      <w:r>
        <w:rPr>
          <w:i/>
          <w:spacing w:val="-13"/>
          <w:w w:val="105"/>
          <w:sz w:val="22"/>
        </w:rPr>
        <w:t> </w:t>
      </w:r>
      <w:r>
        <w:rPr>
          <w:i/>
          <w:w w:val="105"/>
          <w:sz w:val="22"/>
        </w:rPr>
        <w:t>alla</w:t>
      </w:r>
      <w:r>
        <w:rPr>
          <w:i/>
          <w:spacing w:val="-15"/>
          <w:w w:val="105"/>
          <w:sz w:val="22"/>
        </w:rPr>
        <w:t> </w:t>
      </w:r>
      <w:r>
        <w:rPr>
          <w:i/>
          <w:w w:val="105"/>
          <w:sz w:val="22"/>
        </w:rPr>
        <w:t>ricerca</w:t>
      </w:r>
      <w:r>
        <w:rPr>
          <w:i/>
          <w:spacing w:val="-14"/>
          <w:w w:val="105"/>
          <w:sz w:val="22"/>
        </w:rPr>
        <w:t> </w:t>
      </w:r>
      <w:r>
        <w:rPr>
          <w:i/>
          <w:w w:val="105"/>
          <w:sz w:val="22"/>
        </w:rPr>
        <w:t>e</w:t>
      </w:r>
      <w:r>
        <w:rPr>
          <w:i/>
          <w:spacing w:val="-15"/>
          <w:w w:val="105"/>
          <w:sz w:val="22"/>
        </w:rPr>
        <w:t> </w:t>
      </w:r>
      <w:r>
        <w:rPr>
          <w:i/>
          <w:w w:val="105"/>
          <w:sz w:val="22"/>
        </w:rPr>
        <w:t>sviluppo</w:t>
      </w:r>
      <w:r>
        <w:rPr>
          <w:i/>
          <w:spacing w:val="-15"/>
          <w:w w:val="105"/>
          <w:sz w:val="22"/>
        </w:rPr>
        <w:t> </w:t>
      </w:r>
      <w:r>
        <w:rPr>
          <w:i/>
          <w:w w:val="105"/>
          <w:sz w:val="22"/>
        </w:rPr>
        <w:t>e </w:t>
      </w:r>
      <w:r>
        <w:rPr>
          <w:i/>
          <w:w w:val="105"/>
          <w:sz w:val="22"/>
        </w:rPr>
        <w:t>altra agevolazione o sovvenzione … restando espressamente esclusi i debiti e gli obblighi, anche di rimborso o relativi a inadempimenti, penali, maturati sino alla Data di Esecuzione o comunque conseguenti a eventuali azioni o omissioni compiute dalla Società fino alla Data di Esecuzione</w:t>
      </w:r>
      <w:r>
        <w:rPr>
          <w:w w:val="105"/>
          <w:sz w:val="22"/>
        </w:rPr>
        <w:t>” (cfr. art. 1.2. – (vii) 1 </w:t>
      </w:r>
      <w:r>
        <w:rPr>
          <w:sz w:val="22"/>
        </w:rPr>
        <w:t>dell’Offerta</w:t>
      </w:r>
      <w:r>
        <w:rPr>
          <w:spacing w:val="29"/>
          <w:sz w:val="22"/>
        </w:rPr>
        <w:t> </w:t>
      </w:r>
      <w:r>
        <w:rPr>
          <w:sz w:val="22"/>
        </w:rPr>
        <w:t>Versalis);</w:t>
      </w:r>
    </w:p>
    <w:p>
      <w:pPr>
        <w:pStyle w:val="ListParagraph"/>
        <w:numPr>
          <w:ilvl w:val="0"/>
          <w:numId w:val="16"/>
        </w:numPr>
        <w:tabs>
          <w:tab w:pos="935" w:val="left" w:leader="none"/>
        </w:tabs>
        <w:spacing w:line="477" w:lineRule="auto" w:before="1" w:after="0"/>
        <w:ind w:left="934" w:right="2196" w:hanging="266"/>
        <w:jc w:val="both"/>
        <w:rPr>
          <w:sz w:val="22"/>
        </w:rPr>
      </w:pPr>
      <w:r>
        <w:rPr>
          <w:w w:val="105"/>
          <w:sz w:val="22"/>
        </w:rPr>
        <w:t>la prima tranche dei finanziamenti europei concessi hanno tutti ad oggetto</w:t>
      </w:r>
      <w:r>
        <w:rPr>
          <w:spacing w:val="-12"/>
          <w:w w:val="105"/>
          <w:sz w:val="22"/>
        </w:rPr>
        <w:t> </w:t>
      </w:r>
      <w:r>
        <w:rPr>
          <w:w w:val="105"/>
          <w:sz w:val="22"/>
        </w:rPr>
        <w:t>lo</w:t>
      </w:r>
      <w:r>
        <w:rPr>
          <w:spacing w:val="-14"/>
          <w:w w:val="105"/>
          <w:sz w:val="22"/>
        </w:rPr>
        <w:t> </w:t>
      </w:r>
      <w:r>
        <w:rPr>
          <w:w w:val="105"/>
          <w:sz w:val="22"/>
        </w:rPr>
        <w:t>sviluppo</w:t>
      </w:r>
      <w:r>
        <w:rPr>
          <w:spacing w:val="-15"/>
          <w:w w:val="105"/>
          <w:sz w:val="22"/>
        </w:rPr>
        <w:t> </w:t>
      </w:r>
      <w:r>
        <w:rPr>
          <w:w w:val="105"/>
          <w:sz w:val="22"/>
        </w:rPr>
        <w:t>di</w:t>
      </w:r>
      <w:r>
        <w:rPr>
          <w:spacing w:val="-13"/>
          <w:w w:val="105"/>
          <w:sz w:val="22"/>
        </w:rPr>
        <w:t> </w:t>
      </w:r>
      <w:r>
        <w:rPr>
          <w:w w:val="105"/>
          <w:sz w:val="22"/>
        </w:rPr>
        <w:t>attività</w:t>
      </w:r>
      <w:r>
        <w:rPr>
          <w:spacing w:val="-14"/>
          <w:w w:val="105"/>
          <w:sz w:val="22"/>
        </w:rPr>
        <w:t> </w:t>
      </w:r>
      <w:r>
        <w:rPr>
          <w:w w:val="105"/>
          <w:sz w:val="22"/>
        </w:rPr>
        <w:t>o</w:t>
      </w:r>
      <w:r>
        <w:rPr>
          <w:spacing w:val="-15"/>
          <w:w w:val="105"/>
          <w:sz w:val="22"/>
        </w:rPr>
        <w:t> </w:t>
      </w:r>
      <w:r>
        <w:rPr>
          <w:w w:val="105"/>
          <w:sz w:val="22"/>
        </w:rPr>
        <w:t>tecnologie</w:t>
      </w:r>
      <w:r>
        <w:rPr>
          <w:spacing w:val="-15"/>
          <w:w w:val="105"/>
          <w:sz w:val="22"/>
        </w:rPr>
        <w:t> </w:t>
      </w:r>
      <w:r>
        <w:rPr>
          <w:w w:val="105"/>
          <w:sz w:val="22"/>
        </w:rPr>
        <w:t>in</w:t>
      </w:r>
      <w:r>
        <w:rPr>
          <w:spacing w:val="-15"/>
          <w:w w:val="105"/>
          <w:sz w:val="22"/>
        </w:rPr>
        <w:t> </w:t>
      </w:r>
      <w:r>
        <w:rPr>
          <w:w w:val="105"/>
          <w:sz w:val="22"/>
        </w:rPr>
        <w:t>ambito</w:t>
      </w:r>
      <w:r>
        <w:rPr>
          <w:spacing w:val="-13"/>
          <w:w w:val="105"/>
          <w:sz w:val="22"/>
        </w:rPr>
        <w:t> </w:t>
      </w:r>
      <w:r>
        <w:rPr>
          <w:w w:val="105"/>
          <w:sz w:val="22"/>
        </w:rPr>
        <w:t>“Bio”,</w:t>
      </w:r>
      <w:r>
        <w:rPr>
          <w:spacing w:val="-12"/>
          <w:w w:val="105"/>
          <w:sz w:val="22"/>
        </w:rPr>
        <w:t> </w:t>
      </w:r>
      <w:r>
        <w:rPr>
          <w:w w:val="105"/>
          <w:sz w:val="22"/>
        </w:rPr>
        <w:t>rientrando pertanto</w:t>
      </w:r>
      <w:r>
        <w:rPr>
          <w:spacing w:val="-31"/>
          <w:w w:val="105"/>
          <w:sz w:val="22"/>
        </w:rPr>
        <w:t> </w:t>
      </w:r>
      <w:r>
        <w:rPr>
          <w:w w:val="105"/>
          <w:sz w:val="22"/>
        </w:rPr>
        <w:t>nel</w:t>
      </w:r>
      <w:r>
        <w:rPr>
          <w:spacing w:val="-31"/>
          <w:w w:val="105"/>
          <w:sz w:val="22"/>
        </w:rPr>
        <w:t> </w:t>
      </w:r>
      <w:r>
        <w:rPr>
          <w:w w:val="105"/>
          <w:sz w:val="22"/>
        </w:rPr>
        <w:t>perimetro</w:t>
      </w:r>
      <w:r>
        <w:rPr>
          <w:spacing w:val="-31"/>
          <w:w w:val="105"/>
          <w:sz w:val="22"/>
        </w:rPr>
        <w:t> </w:t>
      </w:r>
      <w:r>
        <w:rPr>
          <w:w w:val="105"/>
          <w:sz w:val="22"/>
        </w:rPr>
        <w:t>dell’Offerta</w:t>
      </w:r>
      <w:r>
        <w:rPr>
          <w:spacing w:val="-32"/>
          <w:w w:val="105"/>
          <w:sz w:val="22"/>
        </w:rPr>
        <w:t> </w:t>
      </w:r>
      <w:r>
        <w:rPr>
          <w:w w:val="105"/>
          <w:sz w:val="22"/>
        </w:rPr>
        <w:t>Versalis;</w:t>
      </w:r>
    </w:p>
    <w:p>
      <w:pPr>
        <w:pStyle w:val="ListParagraph"/>
        <w:numPr>
          <w:ilvl w:val="0"/>
          <w:numId w:val="16"/>
        </w:numPr>
        <w:tabs>
          <w:tab w:pos="935" w:val="left" w:leader="none"/>
        </w:tabs>
        <w:spacing w:line="482" w:lineRule="auto" w:before="15" w:after="0"/>
        <w:ind w:left="934" w:right="2195" w:hanging="266"/>
        <w:jc w:val="both"/>
        <w:rPr>
          <w:sz w:val="22"/>
        </w:rPr>
      </w:pPr>
      <w:r>
        <w:rPr>
          <w:w w:val="105"/>
          <w:sz w:val="22"/>
        </w:rPr>
        <w:t>sulla</w:t>
      </w:r>
      <w:r>
        <w:rPr>
          <w:spacing w:val="-10"/>
          <w:w w:val="105"/>
          <w:sz w:val="22"/>
        </w:rPr>
        <w:t> </w:t>
      </w:r>
      <w:r>
        <w:rPr>
          <w:w w:val="105"/>
          <w:sz w:val="22"/>
        </w:rPr>
        <w:t>base</w:t>
      </w:r>
      <w:r>
        <w:rPr>
          <w:spacing w:val="-8"/>
          <w:w w:val="105"/>
          <w:sz w:val="22"/>
        </w:rPr>
        <w:t> </w:t>
      </w:r>
      <w:r>
        <w:rPr>
          <w:w w:val="105"/>
          <w:sz w:val="22"/>
        </w:rPr>
        <w:t>dei</w:t>
      </w:r>
      <w:r>
        <w:rPr>
          <w:spacing w:val="-10"/>
          <w:w w:val="105"/>
          <w:sz w:val="22"/>
        </w:rPr>
        <w:t> </w:t>
      </w:r>
      <w:r>
        <w:rPr>
          <w:w w:val="105"/>
          <w:sz w:val="22"/>
        </w:rPr>
        <w:t>rapporti</w:t>
      </w:r>
      <w:r>
        <w:rPr>
          <w:spacing w:val="-8"/>
          <w:w w:val="105"/>
          <w:sz w:val="22"/>
        </w:rPr>
        <w:t> </w:t>
      </w:r>
      <w:r>
        <w:rPr>
          <w:w w:val="105"/>
          <w:sz w:val="22"/>
        </w:rPr>
        <w:t>contrattuali</w:t>
      </w:r>
      <w:r>
        <w:rPr>
          <w:spacing w:val="-8"/>
          <w:w w:val="105"/>
          <w:sz w:val="22"/>
        </w:rPr>
        <w:t> </w:t>
      </w:r>
      <w:r>
        <w:rPr>
          <w:w w:val="105"/>
          <w:sz w:val="22"/>
        </w:rPr>
        <w:t>in</w:t>
      </w:r>
      <w:r>
        <w:rPr>
          <w:spacing w:val="-9"/>
          <w:w w:val="105"/>
          <w:sz w:val="22"/>
        </w:rPr>
        <w:t> </w:t>
      </w:r>
      <w:r>
        <w:rPr>
          <w:w w:val="105"/>
          <w:sz w:val="22"/>
        </w:rPr>
        <w:t>essere</w:t>
      </w:r>
      <w:r>
        <w:rPr>
          <w:spacing w:val="-10"/>
          <w:w w:val="105"/>
          <w:sz w:val="22"/>
        </w:rPr>
        <w:t> </w:t>
      </w:r>
      <w:r>
        <w:rPr>
          <w:w w:val="105"/>
          <w:sz w:val="22"/>
        </w:rPr>
        <w:t>tra</w:t>
      </w:r>
      <w:r>
        <w:rPr>
          <w:spacing w:val="-10"/>
          <w:w w:val="105"/>
          <w:sz w:val="22"/>
        </w:rPr>
        <w:t> </w:t>
      </w:r>
      <w:r>
        <w:rPr>
          <w:w w:val="105"/>
          <w:sz w:val="22"/>
        </w:rPr>
        <w:t>le</w:t>
      </w:r>
      <w:r>
        <w:rPr>
          <w:spacing w:val="-10"/>
          <w:w w:val="105"/>
          <w:sz w:val="22"/>
        </w:rPr>
        <w:t> </w:t>
      </w:r>
      <w:r>
        <w:rPr>
          <w:w w:val="105"/>
          <w:sz w:val="22"/>
        </w:rPr>
        <w:t>parti,</w:t>
      </w:r>
      <w:r>
        <w:rPr>
          <w:spacing w:val="-8"/>
          <w:w w:val="105"/>
          <w:sz w:val="22"/>
        </w:rPr>
        <w:t> </w:t>
      </w:r>
      <w:r>
        <w:rPr>
          <w:w w:val="105"/>
          <w:sz w:val="22"/>
        </w:rPr>
        <w:t>non</w:t>
      </w:r>
      <w:r>
        <w:rPr>
          <w:spacing w:val="-10"/>
          <w:w w:val="105"/>
          <w:sz w:val="22"/>
        </w:rPr>
        <w:t> </w:t>
      </w:r>
      <w:r>
        <w:rPr>
          <w:w w:val="105"/>
          <w:sz w:val="22"/>
        </w:rPr>
        <w:t>sussistono in capo alla Società verso l’Unione Europea né “debiti né obblighi di rimborso”, né penali conseguenti ad azioni o omissioni delle Società medesime.</w:t>
      </w:r>
    </w:p>
    <w:p>
      <w:pPr>
        <w:pStyle w:val="BodyText"/>
        <w:spacing w:line="491" w:lineRule="auto" w:before="9"/>
        <w:ind w:left="400" w:right="2200"/>
      </w:pPr>
      <w:r>
        <w:rPr>
          <w:w w:val="105"/>
        </w:rPr>
        <w:t>Sulla base di tali assunti e considerato il contenuto dell’Offerta Versalis, i Progetti di cui ai finanziamenti europei rientrano nella medesima    Offerta</w:t>
      </w:r>
    </w:p>
    <w:p>
      <w:pPr>
        <w:spacing w:after="0" w:line="491" w:lineRule="auto"/>
        <w:sectPr>
          <w:pgSz w:w="12240" w:h="15840"/>
          <w:pgMar w:header="0" w:footer="790" w:top="1500" w:bottom="980" w:left="1720" w:right="1200"/>
        </w:sectPr>
      </w:pPr>
    </w:p>
    <w:p>
      <w:pPr>
        <w:pStyle w:val="BodyText"/>
        <w:spacing w:line="491" w:lineRule="auto" w:before="105"/>
        <w:ind w:left="400" w:right="2195"/>
        <w:jc w:val="both"/>
      </w:pPr>
      <w:r>
        <w:rPr>
          <w:w w:val="105"/>
        </w:rPr>
        <w:t>Versalis. Inoltre, l’eventuale restituzione del prefinanziamento erogato dalla Commissione Europea, tutt’al più, quale passività potenziale che, afferendo al “Perimetro Bio”, dovrà essere gestita da Versalis. Questa infatti, acquisendo</w:t>
      </w:r>
      <w:r>
        <w:rPr>
          <w:spacing w:val="-10"/>
          <w:w w:val="105"/>
        </w:rPr>
        <w:t> </w:t>
      </w:r>
      <w:r>
        <w:rPr>
          <w:w w:val="105"/>
        </w:rPr>
        <w:t>i</w:t>
      </w:r>
      <w:r>
        <w:rPr>
          <w:spacing w:val="-10"/>
          <w:w w:val="105"/>
        </w:rPr>
        <w:t> </w:t>
      </w:r>
      <w:r>
        <w:rPr>
          <w:w w:val="105"/>
        </w:rPr>
        <w:t>Progetti,</w:t>
      </w:r>
      <w:r>
        <w:rPr>
          <w:spacing w:val="-11"/>
          <w:w w:val="105"/>
        </w:rPr>
        <w:t> </w:t>
      </w:r>
      <w:r>
        <w:rPr>
          <w:w w:val="105"/>
        </w:rPr>
        <w:t>avrà</w:t>
      </w:r>
      <w:r>
        <w:rPr>
          <w:spacing w:val="-10"/>
          <w:w w:val="105"/>
        </w:rPr>
        <w:t> </w:t>
      </w:r>
      <w:r>
        <w:rPr>
          <w:w w:val="105"/>
        </w:rPr>
        <w:t>anche</w:t>
      </w:r>
      <w:r>
        <w:rPr>
          <w:spacing w:val="-10"/>
          <w:w w:val="105"/>
        </w:rPr>
        <w:t> </w:t>
      </w:r>
      <w:r>
        <w:rPr>
          <w:w w:val="105"/>
        </w:rPr>
        <w:t>l’onere</w:t>
      </w:r>
      <w:r>
        <w:rPr>
          <w:spacing w:val="-10"/>
          <w:w w:val="105"/>
        </w:rPr>
        <w:t> </w:t>
      </w:r>
      <w:r>
        <w:rPr>
          <w:w w:val="105"/>
        </w:rPr>
        <w:t>di</w:t>
      </w:r>
      <w:r>
        <w:rPr>
          <w:spacing w:val="-10"/>
          <w:w w:val="105"/>
        </w:rPr>
        <w:t> </w:t>
      </w:r>
      <w:r>
        <w:rPr>
          <w:w w:val="105"/>
        </w:rPr>
        <w:t>portarli</w:t>
      </w:r>
      <w:r>
        <w:rPr>
          <w:spacing w:val="-10"/>
          <w:w w:val="105"/>
        </w:rPr>
        <w:t> </w:t>
      </w:r>
      <w:r>
        <w:rPr>
          <w:w w:val="105"/>
        </w:rPr>
        <w:t>a</w:t>
      </w:r>
      <w:r>
        <w:rPr>
          <w:spacing w:val="-10"/>
          <w:w w:val="105"/>
        </w:rPr>
        <w:t> </w:t>
      </w:r>
      <w:r>
        <w:rPr>
          <w:w w:val="105"/>
        </w:rPr>
        <w:t>compimento</w:t>
      </w:r>
      <w:r>
        <w:rPr>
          <w:spacing w:val="-10"/>
          <w:w w:val="105"/>
        </w:rPr>
        <w:t> </w:t>
      </w:r>
      <w:r>
        <w:rPr>
          <w:w w:val="105"/>
        </w:rPr>
        <w:t>o,</w:t>
      </w:r>
      <w:r>
        <w:rPr>
          <w:spacing w:val="-10"/>
          <w:w w:val="105"/>
        </w:rPr>
        <w:t> </w:t>
      </w:r>
      <w:r>
        <w:rPr>
          <w:w w:val="105"/>
        </w:rPr>
        <w:t>in</w:t>
      </w:r>
      <w:r>
        <w:rPr>
          <w:spacing w:val="-10"/>
          <w:w w:val="105"/>
        </w:rPr>
        <w:t> </w:t>
      </w:r>
      <w:r>
        <w:rPr>
          <w:w w:val="105"/>
        </w:rPr>
        <w:t>caso decidesse di non farlo, dovrà sostenerne gli eventuali costi. Non è infatti ipotizzabile</w:t>
      </w:r>
      <w:r>
        <w:rPr>
          <w:spacing w:val="-13"/>
          <w:w w:val="105"/>
        </w:rPr>
        <w:t> </w:t>
      </w:r>
      <w:r>
        <w:rPr>
          <w:w w:val="105"/>
        </w:rPr>
        <w:t>il</w:t>
      </w:r>
      <w:r>
        <w:rPr>
          <w:spacing w:val="-13"/>
          <w:w w:val="105"/>
        </w:rPr>
        <w:t> </w:t>
      </w:r>
      <w:r>
        <w:rPr>
          <w:w w:val="105"/>
        </w:rPr>
        <w:t>caso</w:t>
      </w:r>
      <w:r>
        <w:rPr>
          <w:spacing w:val="-13"/>
          <w:w w:val="105"/>
        </w:rPr>
        <w:t> </w:t>
      </w:r>
      <w:r>
        <w:rPr>
          <w:w w:val="105"/>
        </w:rPr>
        <w:t>in</w:t>
      </w:r>
      <w:r>
        <w:rPr>
          <w:spacing w:val="-12"/>
          <w:w w:val="105"/>
        </w:rPr>
        <w:t> </w:t>
      </w:r>
      <w:r>
        <w:rPr>
          <w:w w:val="105"/>
        </w:rPr>
        <w:t>cui</w:t>
      </w:r>
      <w:r>
        <w:rPr>
          <w:spacing w:val="-13"/>
          <w:w w:val="105"/>
        </w:rPr>
        <w:t> </w:t>
      </w:r>
      <w:r>
        <w:rPr>
          <w:w w:val="105"/>
        </w:rPr>
        <w:t>le</w:t>
      </w:r>
      <w:r>
        <w:rPr>
          <w:spacing w:val="-13"/>
          <w:w w:val="105"/>
        </w:rPr>
        <w:t> </w:t>
      </w:r>
      <w:r>
        <w:rPr>
          <w:w w:val="105"/>
        </w:rPr>
        <w:t>conseguenze</w:t>
      </w:r>
      <w:r>
        <w:rPr>
          <w:spacing w:val="-13"/>
          <w:w w:val="105"/>
        </w:rPr>
        <w:t> </w:t>
      </w:r>
      <w:r>
        <w:rPr>
          <w:w w:val="105"/>
        </w:rPr>
        <w:t>rivenienti</w:t>
      </w:r>
      <w:r>
        <w:rPr>
          <w:spacing w:val="-10"/>
          <w:w w:val="105"/>
        </w:rPr>
        <w:t> </w:t>
      </w:r>
      <w:r>
        <w:rPr>
          <w:w w:val="105"/>
        </w:rPr>
        <w:t>dal</w:t>
      </w:r>
      <w:r>
        <w:rPr>
          <w:spacing w:val="-13"/>
          <w:w w:val="105"/>
        </w:rPr>
        <w:t> </w:t>
      </w:r>
      <w:r>
        <w:rPr>
          <w:w w:val="105"/>
        </w:rPr>
        <w:t>portare</w:t>
      </w:r>
      <w:r>
        <w:rPr>
          <w:spacing w:val="-12"/>
          <w:w w:val="105"/>
        </w:rPr>
        <w:t> </w:t>
      </w:r>
      <w:r>
        <w:rPr>
          <w:w w:val="105"/>
        </w:rPr>
        <w:t>o</w:t>
      </w:r>
      <w:r>
        <w:rPr>
          <w:spacing w:val="-12"/>
          <w:w w:val="105"/>
        </w:rPr>
        <w:t> </w:t>
      </w:r>
      <w:r>
        <w:rPr>
          <w:w w:val="105"/>
        </w:rPr>
        <w:t>meno</w:t>
      </w:r>
      <w:r>
        <w:rPr>
          <w:spacing w:val="-13"/>
          <w:w w:val="105"/>
        </w:rPr>
        <w:t> </w:t>
      </w:r>
      <w:r>
        <w:rPr>
          <w:w w:val="105"/>
        </w:rPr>
        <w:t>avanti i Progetti – che, dopo la loro cessione a Versalis, dipenderanno da scelte imprenditoriali fatte da quest’ultima – posano ricadere sulle Società del Gruppo M&amp;G che, come dalle stesse dichiarato, hanno sino ad oggi dato corso</w:t>
      </w:r>
      <w:r>
        <w:rPr>
          <w:spacing w:val="-7"/>
          <w:w w:val="105"/>
        </w:rPr>
        <w:t> </w:t>
      </w:r>
      <w:r>
        <w:rPr>
          <w:w w:val="105"/>
        </w:rPr>
        <w:t>ai</w:t>
      </w:r>
      <w:r>
        <w:rPr>
          <w:spacing w:val="-7"/>
          <w:w w:val="105"/>
        </w:rPr>
        <w:t> </w:t>
      </w:r>
      <w:r>
        <w:rPr>
          <w:w w:val="105"/>
        </w:rPr>
        <w:t>progetti</w:t>
      </w:r>
      <w:r>
        <w:rPr>
          <w:spacing w:val="-6"/>
          <w:w w:val="105"/>
        </w:rPr>
        <w:t> </w:t>
      </w:r>
      <w:r>
        <w:rPr>
          <w:w w:val="105"/>
        </w:rPr>
        <w:t>e</w:t>
      </w:r>
      <w:r>
        <w:rPr>
          <w:spacing w:val="-6"/>
          <w:w w:val="105"/>
        </w:rPr>
        <w:t> </w:t>
      </w:r>
      <w:r>
        <w:rPr>
          <w:w w:val="105"/>
        </w:rPr>
        <w:t>utilizzato</w:t>
      </w:r>
      <w:r>
        <w:rPr>
          <w:spacing w:val="-7"/>
          <w:w w:val="105"/>
        </w:rPr>
        <w:t> </w:t>
      </w:r>
      <w:r>
        <w:rPr>
          <w:w w:val="105"/>
        </w:rPr>
        <w:t>i</w:t>
      </w:r>
      <w:r>
        <w:rPr>
          <w:spacing w:val="-7"/>
          <w:w w:val="105"/>
        </w:rPr>
        <w:t> </w:t>
      </w:r>
      <w:r>
        <w:rPr>
          <w:w w:val="105"/>
        </w:rPr>
        <w:t>pre-finanziamenti</w:t>
      </w:r>
      <w:r>
        <w:rPr>
          <w:spacing w:val="-5"/>
          <w:w w:val="105"/>
        </w:rPr>
        <w:t> </w:t>
      </w:r>
      <w:r>
        <w:rPr>
          <w:w w:val="105"/>
        </w:rPr>
        <w:t>per</w:t>
      </w:r>
      <w:r>
        <w:rPr>
          <w:spacing w:val="-7"/>
          <w:w w:val="105"/>
        </w:rPr>
        <w:t> </w:t>
      </w:r>
      <w:r>
        <w:rPr>
          <w:w w:val="105"/>
        </w:rPr>
        <w:t>lo</w:t>
      </w:r>
      <w:r>
        <w:rPr>
          <w:spacing w:val="-7"/>
          <w:w w:val="105"/>
        </w:rPr>
        <w:t> </w:t>
      </w:r>
      <w:r>
        <w:rPr>
          <w:w w:val="105"/>
        </w:rPr>
        <w:t>sviluppo</w:t>
      </w:r>
      <w:r>
        <w:rPr>
          <w:spacing w:val="-7"/>
          <w:w w:val="105"/>
        </w:rPr>
        <w:t> </w:t>
      </w:r>
      <w:r>
        <w:rPr>
          <w:w w:val="105"/>
        </w:rPr>
        <w:t>delle</w:t>
      </w:r>
      <w:r>
        <w:rPr>
          <w:spacing w:val="-6"/>
          <w:w w:val="105"/>
        </w:rPr>
        <w:t> </w:t>
      </w:r>
      <w:r>
        <w:rPr>
          <w:w w:val="105"/>
        </w:rPr>
        <w:t>attività e</w:t>
      </w:r>
      <w:r>
        <w:rPr>
          <w:spacing w:val="-4"/>
          <w:w w:val="105"/>
        </w:rPr>
        <w:t> </w:t>
      </w:r>
      <w:r>
        <w:rPr>
          <w:w w:val="105"/>
        </w:rPr>
        <w:t>delle</w:t>
      </w:r>
      <w:r>
        <w:rPr>
          <w:spacing w:val="-5"/>
          <w:w w:val="105"/>
        </w:rPr>
        <w:t> </w:t>
      </w:r>
      <w:r>
        <w:rPr>
          <w:w w:val="105"/>
        </w:rPr>
        <w:t>tecnologie</w:t>
      </w:r>
      <w:r>
        <w:rPr>
          <w:spacing w:val="-5"/>
          <w:w w:val="105"/>
        </w:rPr>
        <w:t> </w:t>
      </w:r>
      <w:r>
        <w:rPr>
          <w:w w:val="105"/>
        </w:rPr>
        <w:t>Bio.</w:t>
      </w:r>
      <w:r>
        <w:rPr>
          <w:spacing w:val="-5"/>
          <w:w w:val="105"/>
        </w:rPr>
        <w:t> </w:t>
      </w:r>
      <w:r>
        <w:rPr>
          <w:w w:val="105"/>
        </w:rPr>
        <w:t>In</w:t>
      </w:r>
      <w:r>
        <w:rPr>
          <w:spacing w:val="-4"/>
          <w:w w:val="105"/>
        </w:rPr>
        <w:t> </w:t>
      </w:r>
      <w:r>
        <w:rPr>
          <w:w w:val="105"/>
        </w:rPr>
        <w:t>questa</w:t>
      </w:r>
      <w:r>
        <w:rPr>
          <w:spacing w:val="-6"/>
          <w:w w:val="105"/>
        </w:rPr>
        <w:t> </w:t>
      </w:r>
      <w:r>
        <w:rPr>
          <w:w w:val="105"/>
        </w:rPr>
        <w:t>situazione,</w:t>
      </w:r>
      <w:r>
        <w:rPr>
          <w:spacing w:val="-5"/>
          <w:w w:val="105"/>
        </w:rPr>
        <w:t> </w:t>
      </w:r>
      <w:r>
        <w:rPr>
          <w:w w:val="105"/>
        </w:rPr>
        <w:t>si</w:t>
      </w:r>
      <w:r>
        <w:rPr>
          <w:spacing w:val="-4"/>
          <w:w w:val="105"/>
        </w:rPr>
        <w:t> </w:t>
      </w:r>
      <w:r>
        <w:rPr>
          <w:w w:val="105"/>
        </w:rPr>
        <w:t>può</w:t>
      </w:r>
      <w:r>
        <w:rPr>
          <w:spacing w:val="-4"/>
          <w:w w:val="105"/>
        </w:rPr>
        <w:t> </w:t>
      </w:r>
      <w:r>
        <w:rPr>
          <w:w w:val="105"/>
        </w:rPr>
        <w:t>ritenere</w:t>
      </w:r>
      <w:r>
        <w:rPr>
          <w:spacing w:val="-3"/>
          <w:w w:val="105"/>
        </w:rPr>
        <w:t> </w:t>
      </w:r>
      <w:r>
        <w:rPr>
          <w:w w:val="105"/>
        </w:rPr>
        <w:t>che</w:t>
      </w:r>
      <w:r>
        <w:rPr>
          <w:spacing w:val="-5"/>
          <w:w w:val="105"/>
        </w:rPr>
        <w:t> </w:t>
      </w:r>
      <w:r>
        <w:rPr>
          <w:w w:val="105"/>
        </w:rPr>
        <w:t>ove</w:t>
      </w:r>
      <w:r>
        <w:rPr>
          <w:spacing w:val="-5"/>
          <w:w w:val="105"/>
        </w:rPr>
        <w:t> </w:t>
      </w:r>
      <w:r>
        <w:rPr>
          <w:w w:val="105"/>
        </w:rPr>
        <w:t>Versalis, successivamente al suo subentro nei Progetti, dovesse interromperne lo sviluppo,</w:t>
      </w:r>
      <w:r>
        <w:rPr>
          <w:spacing w:val="-7"/>
          <w:w w:val="105"/>
        </w:rPr>
        <w:t> </w:t>
      </w:r>
      <w:r>
        <w:rPr>
          <w:w w:val="105"/>
        </w:rPr>
        <w:t>con</w:t>
      </w:r>
      <w:r>
        <w:rPr>
          <w:spacing w:val="-7"/>
          <w:w w:val="105"/>
        </w:rPr>
        <w:t> </w:t>
      </w:r>
      <w:r>
        <w:rPr>
          <w:w w:val="105"/>
        </w:rPr>
        <w:t>conseguente</w:t>
      </w:r>
      <w:r>
        <w:rPr>
          <w:spacing w:val="-7"/>
          <w:w w:val="105"/>
        </w:rPr>
        <w:t> </w:t>
      </w:r>
      <w:r>
        <w:rPr>
          <w:w w:val="105"/>
        </w:rPr>
        <w:t>richiesta</w:t>
      </w:r>
      <w:r>
        <w:rPr>
          <w:spacing w:val="-6"/>
          <w:w w:val="105"/>
        </w:rPr>
        <w:t> </w:t>
      </w:r>
      <w:r>
        <w:rPr>
          <w:w w:val="105"/>
        </w:rPr>
        <w:t>da</w:t>
      </w:r>
      <w:r>
        <w:rPr>
          <w:spacing w:val="-7"/>
          <w:w w:val="105"/>
        </w:rPr>
        <w:t> </w:t>
      </w:r>
      <w:r>
        <w:rPr>
          <w:w w:val="105"/>
        </w:rPr>
        <w:t>parte</w:t>
      </w:r>
      <w:r>
        <w:rPr>
          <w:spacing w:val="-7"/>
          <w:w w:val="105"/>
        </w:rPr>
        <w:t> </w:t>
      </w:r>
      <w:r>
        <w:rPr>
          <w:w w:val="105"/>
        </w:rPr>
        <w:t>della</w:t>
      </w:r>
      <w:r>
        <w:rPr>
          <w:spacing w:val="-7"/>
          <w:w w:val="105"/>
        </w:rPr>
        <w:t> </w:t>
      </w:r>
      <w:r>
        <w:rPr>
          <w:w w:val="105"/>
        </w:rPr>
        <w:t>Commissione</w:t>
      </w:r>
      <w:r>
        <w:rPr>
          <w:spacing w:val="-7"/>
          <w:w w:val="105"/>
        </w:rPr>
        <w:t> </w:t>
      </w:r>
      <w:r>
        <w:rPr>
          <w:w w:val="105"/>
        </w:rPr>
        <w:t>Europea</w:t>
      </w:r>
      <w:r>
        <w:rPr>
          <w:spacing w:val="-6"/>
          <w:w w:val="105"/>
        </w:rPr>
        <w:t> </w:t>
      </w:r>
      <w:r>
        <w:rPr>
          <w:w w:val="105"/>
        </w:rPr>
        <w:t>di restituzione dei pre-finanziamenti erogati, tale richiesta dovrebbe essere rivolta dall’Ente erogante direttamente a Versalis e, ove anche fosse rivolta alla Società, questa potrebbe contestare la debenza e, nell’eventuale contenzioso che ne dovesse derivare, chiamare in causa Versalis per essere da</w:t>
      </w:r>
      <w:r>
        <w:rPr>
          <w:spacing w:val="-14"/>
          <w:w w:val="105"/>
        </w:rPr>
        <w:t> </w:t>
      </w:r>
      <w:r>
        <w:rPr>
          <w:w w:val="105"/>
        </w:rPr>
        <w:t>essa</w:t>
      </w:r>
      <w:r>
        <w:rPr>
          <w:spacing w:val="-15"/>
          <w:w w:val="105"/>
        </w:rPr>
        <w:t> </w:t>
      </w:r>
      <w:r>
        <w:rPr>
          <w:w w:val="105"/>
        </w:rPr>
        <w:t>manlevata</w:t>
      </w:r>
      <w:r>
        <w:rPr>
          <w:spacing w:val="-14"/>
          <w:w w:val="105"/>
        </w:rPr>
        <w:t> </w:t>
      </w:r>
      <w:r>
        <w:rPr>
          <w:w w:val="105"/>
        </w:rPr>
        <w:t>e/o</w:t>
      </w:r>
      <w:r>
        <w:rPr>
          <w:spacing w:val="-14"/>
          <w:w w:val="105"/>
        </w:rPr>
        <w:t> </w:t>
      </w:r>
      <w:r>
        <w:rPr>
          <w:w w:val="105"/>
        </w:rPr>
        <w:t>agire</w:t>
      </w:r>
      <w:r>
        <w:rPr>
          <w:spacing w:val="-14"/>
          <w:w w:val="105"/>
        </w:rPr>
        <w:t> </w:t>
      </w:r>
      <w:r>
        <w:rPr>
          <w:w w:val="105"/>
        </w:rPr>
        <w:t>nei</w:t>
      </w:r>
      <w:r>
        <w:rPr>
          <w:spacing w:val="-14"/>
          <w:w w:val="105"/>
        </w:rPr>
        <w:t> </w:t>
      </w:r>
      <w:r>
        <w:rPr>
          <w:w w:val="105"/>
        </w:rPr>
        <w:t>suoi</w:t>
      </w:r>
      <w:r>
        <w:rPr>
          <w:spacing w:val="-14"/>
          <w:w w:val="105"/>
        </w:rPr>
        <w:t> </w:t>
      </w:r>
      <w:r>
        <w:rPr>
          <w:w w:val="105"/>
        </w:rPr>
        <w:t>confronti</w:t>
      </w:r>
      <w:r>
        <w:rPr>
          <w:spacing w:val="-16"/>
          <w:w w:val="105"/>
        </w:rPr>
        <w:t> </w:t>
      </w:r>
      <w:r>
        <w:rPr>
          <w:w w:val="105"/>
        </w:rPr>
        <w:t>in</w:t>
      </w:r>
      <w:r>
        <w:rPr>
          <w:spacing w:val="-14"/>
          <w:w w:val="105"/>
        </w:rPr>
        <w:t> </w:t>
      </w:r>
      <w:r>
        <w:rPr>
          <w:w w:val="105"/>
        </w:rPr>
        <w:t>via</w:t>
      </w:r>
      <w:r>
        <w:rPr>
          <w:spacing w:val="-14"/>
          <w:w w:val="105"/>
        </w:rPr>
        <w:t> </w:t>
      </w:r>
      <w:r>
        <w:rPr>
          <w:w w:val="105"/>
        </w:rPr>
        <w:t>di</w:t>
      </w:r>
      <w:r>
        <w:rPr>
          <w:spacing w:val="-14"/>
          <w:w w:val="105"/>
        </w:rPr>
        <w:t> </w:t>
      </w:r>
      <w:r>
        <w:rPr>
          <w:w w:val="105"/>
        </w:rPr>
        <w:t>regresso.</w:t>
      </w:r>
    </w:p>
    <w:p>
      <w:pPr>
        <w:pStyle w:val="BodyText"/>
        <w:rPr>
          <w:sz w:val="24"/>
        </w:rPr>
      </w:pPr>
    </w:p>
    <w:p>
      <w:pPr>
        <w:pStyle w:val="BodyText"/>
        <w:spacing w:before="7"/>
        <w:rPr>
          <w:sz w:val="29"/>
        </w:rPr>
      </w:pPr>
    </w:p>
    <w:p>
      <w:pPr>
        <w:pStyle w:val="Heading1"/>
        <w:spacing w:before="1"/>
        <w:ind w:left="400" w:firstLine="0"/>
        <w:jc w:val="both"/>
      </w:pPr>
      <w:bookmarkStart w:name="_TOC_250032" w:id="20"/>
      <w:bookmarkEnd w:id="20"/>
      <w:r>
        <w:rPr/>
        <w:t>5.5    Il contenzioso Andritz</w:t>
      </w:r>
    </w:p>
    <w:p>
      <w:pPr>
        <w:pStyle w:val="BodyText"/>
        <w:spacing w:before="8"/>
        <w:rPr>
          <w:b/>
          <w:i/>
        </w:rPr>
      </w:pPr>
    </w:p>
    <w:p>
      <w:pPr>
        <w:pStyle w:val="BodyText"/>
        <w:spacing w:line="491" w:lineRule="auto"/>
        <w:ind w:left="400" w:right="2194"/>
        <w:jc w:val="both"/>
      </w:pPr>
      <w:r>
        <w:rPr>
          <w:w w:val="105"/>
        </w:rPr>
        <w:t>Il contenzioso promosso nell’anno 2015 da Andritz Inc. (“</w:t>
      </w:r>
      <w:r>
        <w:rPr>
          <w:b/>
          <w:w w:val="105"/>
        </w:rPr>
        <w:t>Andritz”</w:t>
      </w:r>
      <w:r>
        <w:rPr>
          <w:w w:val="105"/>
        </w:rPr>
        <w:t>) nei confronti di M&amp;G Finanziaria, Beta Renewables e Biochemtex (di seguito, M&amp;G Finanziaria, Beta Renewables e Biochemtex, se congiuntamente, le “</w:t>
      </w:r>
      <w:r>
        <w:rPr>
          <w:b/>
          <w:w w:val="105"/>
        </w:rPr>
        <w:t>Società   Italiane</w:t>
      </w:r>
      <w:r>
        <w:rPr>
          <w:w w:val="105"/>
        </w:rPr>
        <w:t>”),   nonché   di   Chemtex   Italia   S.r.l.,   di   Chemtex</w:t>
      </w:r>
    </w:p>
    <w:p>
      <w:pPr>
        <w:spacing w:after="0" w:line="491" w:lineRule="auto"/>
        <w:jc w:val="both"/>
        <w:sectPr>
          <w:pgSz w:w="12240" w:h="15840"/>
          <w:pgMar w:header="0" w:footer="790" w:top="1500" w:bottom="980" w:left="1720" w:right="1200"/>
        </w:sectPr>
      </w:pPr>
    </w:p>
    <w:p>
      <w:pPr>
        <w:pStyle w:val="BodyText"/>
        <w:spacing w:line="491" w:lineRule="auto" w:before="105"/>
        <w:ind w:left="400" w:right="2197"/>
        <w:jc w:val="both"/>
      </w:pPr>
      <w:r>
        <w:rPr>
          <w:w w:val="105"/>
        </w:rPr>
        <w:t>International Inc., di Carolina Cellulosic Biofuels Llc e di Beta Renewables Usa</w:t>
      </w:r>
      <w:r>
        <w:rPr>
          <w:spacing w:val="-11"/>
          <w:w w:val="105"/>
        </w:rPr>
        <w:t> </w:t>
      </w:r>
      <w:r>
        <w:rPr>
          <w:w w:val="105"/>
        </w:rPr>
        <w:t>Inc.,</w:t>
      </w:r>
      <w:r>
        <w:rPr>
          <w:spacing w:val="-10"/>
          <w:w w:val="105"/>
        </w:rPr>
        <w:t> </w:t>
      </w:r>
      <w:r>
        <w:rPr>
          <w:w w:val="105"/>
        </w:rPr>
        <w:t>avanti</w:t>
      </w:r>
      <w:r>
        <w:rPr>
          <w:spacing w:val="-10"/>
          <w:w w:val="105"/>
        </w:rPr>
        <w:t> </w:t>
      </w:r>
      <w:r>
        <w:rPr>
          <w:w w:val="105"/>
        </w:rPr>
        <w:t>il</w:t>
      </w:r>
      <w:r>
        <w:rPr>
          <w:spacing w:val="-10"/>
          <w:w w:val="105"/>
        </w:rPr>
        <w:t> </w:t>
      </w:r>
      <w:r>
        <w:rPr>
          <w:w w:val="105"/>
        </w:rPr>
        <w:t>United</w:t>
      </w:r>
      <w:r>
        <w:rPr>
          <w:spacing w:val="-7"/>
          <w:w w:val="105"/>
        </w:rPr>
        <w:t> </w:t>
      </w:r>
      <w:r>
        <w:rPr>
          <w:w w:val="105"/>
        </w:rPr>
        <w:t>States</w:t>
      </w:r>
      <w:r>
        <w:rPr>
          <w:spacing w:val="-10"/>
          <w:w w:val="105"/>
        </w:rPr>
        <w:t> </w:t>
      </w:r>
      <w:r>
        <w:rPr>
          <w:w w:val="105"/>
        </w:rPr>
        <w:t>District</w:t>
      </w:r>
      <w:r>
        <w:rPr>
          <w:spacing w:val="-10"/>
          <w:w w:val="105"/>
        </w:rPr>
        <w:t> </w:t>
      </w:r>
      <w:r>
        <w:rPr>
          <w:w w:val="105"/>
        </w:rPr>
        <w:t>Court</w:t>
      </w:r>
      <w:r>
        <w:rPr>
          <w:spacing w:val="-10"/>
          <w:w w:val="105"/>
        </w:rPr>
        <w:t> </w:t>
      </w:r>
      <w:r>
        <w:rPr>
          <w:w w:val="105"/>
        </w:rPr>
        <w:t>For</w:t>
      </w:r>
      <w:r>
        <w:rPr>
          <w:spacing w:val="-11"/>
          <w:w w:val="105"/>
        </w:rPr>
        <w:t> </w:t>
      </w:r>
      <w:r>
        <w:rPr>
          <w:w w:val="105"/>
        </w:rPr>
        <w:t>The</w:t>
      </w:r>
      <w:r>
        <w:rPr>
          <w:spacing w:val="-10"/>
          <w:w w:val="105"/>
        </w:rPr>
        <w:t> </w:t>
      </w:r>
      <w:r>
        <w:rPr>
          <w:w w:val="105"/>
        </w:rPr>
        <w:t>Northern</w:t>
      </w:r>
      <w:r>
        <w:rPr>
          <w:spacing w:val="-10"/>
          <w:w w:val="105"/>
        </w:rPr>
        <w:t> </w:t>
      </w:r>
      <w:r>
        <w:rPr>
          <w:w w:val="105"/>
        </w:rPr>
        <w:t>District</w:t>
      </w:r>
      <w:r>
        <w:rPr>
          <w:spacing w:val="-11"/>
          <w:w w:val="105"/>
        </w:rPr>
        <w:t> </w:t>
      </w:r>
      <w:r>
        <w:rPr>
          <w:w w:val="105"/>
        </w:rPr>
        <w:t>of Georgia</w:t>
      </w:r>
      <w:r>
        <w:rPr>
          <w:spacing w:val="-12"/>
          <w:w w:val="105"/>
        </w:rPr>
        <w:t> </w:t>
      </w:r>
      <w:r>
        <w:rPr>
          <w:w w:val="105"/>
        </w:rPr>
        <w:t>Atlanta</w:t>
      </w:r>
      <w:r>
        <w:rPr>
          <w:spacing w:val="-12"/>
          <w:w w:val="105"/>
        </w:rPr>
        <w:t> </w:t>
      </w:r>
      <w:r>
        <w:rPr>
          <w:w w:val="105"/>
        </w:rPr>
        <w:t>Division,</w:t>
      </w:r>
      <w:r>
        <w:rPr>
          <w:spacing w:val="-13"/>
          <w:w w:val="105"/>
        </w:rPr>
        <w:t> </w:t>
      </w:r>
      <w:r>
        <w:rPr>
          <w:w w:val="105"/>
        </w:rPr>
        <w:t>riguarda</w:t>
      </w:r>
      <w:r>
        <w:rPr>
          <w:spacing w:val="-11"/>
          <w:w w:val="105"/>
        </w:rPr>
        <w:t> </w:t>
      </w:r>
      <w:r>
        <w:rPr>
          <w:w w:val="105"/>
        </w:rPr>
        <w:t>l’asserita</w:t>
      </w:r>
      <w:r>
        <w:rPr>
          <w:spacing w:val="-12"/>
          <w:w w:val="105"/>
        </w:rPr>
        <w:t> </w:t>
      </w:r>
      <w:r>
        <w:rPr>
          <w:w w:val="105"/>
        </w:rPr>
        <w:t>violazione</w:t>
      </w:r>
      <w:r>
        <w:rPr>
          <w:spacing w:val="-13"/>
          <w:w w:val="105"/>
        </w:rPr>
        <w:t> </w:t>
      </w:r>
      <w:r>
        <w:rPr>
          <w:w w:val="105"/>
        </w:rPr>
        <w:t>da</w:t>
      </w:r>
      <w:r>
        <w:rPr>
          <w:spacing w:val="-12"/>
          <w:w w:val="105"/>
        </w:rPr>
        <w:t> </w:t>
      </w:r>
      <w:r>
        <w:rPr>
          <w:w w:val="105"/>
        </w:rPr>
        <w:t>parte</w:t>
      </w:r>
      <w:r>
        <w:rPr>
          <w:spacing w:val="-12"/>
          <w:w w:val="105"/>
        </w:rPr>
        <w:t> </w:t>
      </w:r>
      <w:r>
        <w:rPr>
          <w:w w:val="105"/>
        </w:rPr>
        <w:t>delle</w:t>
      </w:r>
      <w:r>
        <w:rPr>
          <w:spacing w:val="-13"/>
          <w:w w:val="105"/>
        </w:rPr>
        <w:t> </w:t>
      </w:r>
      <w:r>
        <w:rPr>
          <w:w w:val="105"/>
        </w:rPr>
        <w:t>Società Italiane di (i) un accordo di riservatezza sottoscritto con Andritz in data 8 aprile 2008, preliminare rispetto alla fornitura da parte di Andritz di macchinari</w:t>
      </w:r>
      <w:r>
        <w:rPr>
          <w:spacing w:val="-10"/>
          <w:w w:val="105"/>
        </w:rPr>
        <w:t> </w:t>
      </w:r>
      <w:r>
        <w:rPr>
          <w:w w:val="105"/>
        </w:rPr>
        <w:t>da</w:t>
      </w:r>
      <w:r>
        <w:rPr>
          <w:spacing w:val="-10"/>
          <w:w w:val="105"/>
        </w:rPr>
        <w:t> </w:t>
      </w:r>
      <w:r>
        <w:rPr>
          <w:w w:val="105"/>
        </w:rPr>
        <w:t>utilizzare</w:t>
      </w:r>
      <w:r>
        <w:rPr>
          <w:spacing w:val="-10"/>
          <w:w w:val="105"/>
        </w:rPr>
        <w:t> </w:t>
      </w:r>
      <w:r>
        <w:rPr>
          <w:w w:val="105"/>
        </w:rPr>
        <w:t>nel</w:t>
      </w:r>
      <w:r>
        <w:rPr>
          <w:spacing w:val="-9"/>
          <w:w w:val="105"/>
        </w:rPr>
        <w:t> </w:t>
      </w:r>
      <w:r>
        <w:rPr>
          <w:w w:val="105"/>
        </w:rPr>
        <w:t>processo</w:t>
      </w:r>
      <w:r>
        <w:rPr>
          <w:spacing w:val="-9"/>
          <w:w w:val="105"/>
        </w:rPr>
        <w:t> </w:t>
      </w:r>
      <w:r>
        <w:rPr>
          <w:w w:val="105"/>
        </w:rPr>
        <w:t>di</w:t>
      </w:r>
      <w:r>
        <w:rPr>
          <w:spacing w:val="-10"/>
          <w:w w:val="105"/>
        </w:rPr>
        <w:t> </w:t>
      </w:r>
      <w:r>
        <w:rPr>
          <w:w w:val="105"/>
        </w:rPr>
        <w:t>pre-trattamento</w:t>
      </w:r>
      <w:r>
        <w:rPr>
          <w:spacing w:val="-9"/>
          <w:w w:val="105"/>
        </w:rPr>
        <w:t> </w:t>
      </w:r>
      <w:r>
        <w:rPr>
          <w:w w:val="105"/>
        </w:rPr>
        <w:t>nell’impianto</w:t>
      </w:r>
      <w:r>
        <w:rPr>
          <w:spacing w:val="-9"/>
          <w:w w:val="105"/>
        </w:rPr>
        <w:t> </w:t>
      </w:r>
      <w:r>
        <w:rPr>
          <w:w w:val="105"/>
        </w:rPr>
        <w:t>pilota e</w:t>
      </w:r>
      <w:r>
        <w:rPr>
          <w:spacing w:val="-12"/>
          <w:w w:val="105"/>
        </w:rPr>
        <w:t> </w:t>
      </w:r>
      <w:r>
        <w:rPr>
          <w:w w:val="105"/>
        </w:rPr>
        <w:t>(ii)</w:t>
      </w:r>
      <w:r>
        <w:rPr>
          <w:spacing w:val="-13"/>
          <w:w w:val="105"/>
        </w:rPr>
        <w:t> </w:t>
      </w:r>
      <w:r>
        <w:rPr>
          <w:w w:val="105"/>
        </w:rPr>
        <w:t>di</w:t>
      </w:r>
      <w:r>
        <w:rPr>
          <w:spacing w:val="-13"/>
          <w:w w:val="105"/>
        </w:rPr>
        <w:t> </w:t>
      </w:r>
      <w:r>
        <w:rPr>
          <w:w w:val="105"/>
        </w:rPr>
        <w:t>(presunti)</w:t>
      </w:r>
      <w:r>
        <w:rPr>
          <w:spacing w:val="-13"/>
          <w:w w:val="105"/>
        </w:rPr>
        <w:t> </w:t>
      </w:r>
      <w:r>
        <w:rPr>
          <w:w w:val="105"/>
        </w:rPr>
        <w:t>segreti</w:t>
      </w:r>
      <w:r>
        <w:rPr>
          <w:spacing w:val="-13"/>
          <w:w w:val="105"/>
        </w:rPr>
        <w:t> </w:t>
      </w:r>
      <w:r>
        <w:rPr>
          <w:w w:val="105"/>
        </w:rPr>
        <w:t>industriali</w:t>
      </w:r>
      <w:r>
        <w:rPr>
          <w:spacing w:val="-11"/>
          <w:w w:val="105"/>
        </w:rPr>
        <w:t> </w:t>
      </w:r>
      <w:r>
        <w:rPr>
          <w:w w:val="105"/>
        </w:rPr>
        <w:t>della</w:t>
      </w:r>
      <w:r>
        <w:rPr>
          <w:spacing w:val="-13"/>
          <w:w w:val="105"/>
        </w:rPr>
        <w:t> </w:t>
      </w:r>
      <w:r>
        <w:rPr>
          <w:w w:val="105"/>
        </w:rPr>
        <w:t>stessa</w:t>
      </w:r>
      <w:r>
        <w:rPr>
          <w:spacing w:val="-13"/>
          <w:w w:val="105"/>
        </w:rPr>
        <w:t> </w:t>
      </w:r>
      <w:r>
        <w:rPr>
          <w:w w:val="105"/>
        </w:rPr>
        <w:t>Andritz</w:t>
      </w:r>
      <w:r>
        <w:rPr>
          <w:spacing w:val="-12"/>
          <w:w w:val="105"/>
        </w:rPr>
        <w:t> </w:t>
      </w:r>
      <w:r>
        <w:rPr>
          <w:w w:val="105"/>
        </w:rPr>
        <w:t>relativi</w:t>
      </w:r>
      <w:r>
        <w:rPr>
          <w:spacing w:val="-12"/>
          <w:w w:val="105"/>
        </w:rPr>
        <w:t> </w:t>
      </w:r>
      <w:r>
        <w:rPr>
          <w:w w:val="105"/>
        </w:rPr>
        <w:t>al</w:t>
      </w:r>
      <w:r>
        <w:rPr>
          <w:spacing w:val="-12"/>
          <w:w w:val="105"/>
        </w:rPr>
        <w:t> </w:t>
      </w:r>
      <w:r>
        <w:rPr>
          <w:w w:val="105"/>
        </w:rPr>
        <w:t>processo</w:t>
      </w:r>
      <w:r>
        <w:rPr>
          <w:spacing w:val="-12"/>
          <w:w w:val="105"/>
        </w:rPr>
        <w:t> </w:t>
      </w:r>
      <w:r>
        <w:rPr>
          <w:w w:val="105"/>
        </w:rPr>
        <w:t>di pre-trattamento,</w:t>
      </w:r>
      <w:r>
        <w:rPr>
          <w:spacing w:val="-27"/>
          <w:w w:val="105"/>
        </w:rPr>
        <w:t> </w:t>
      </w:r>
      <w:r>
        <w:rPr>
          <w:w w:val="105"/>
        </w:rPr>
        <w:t>caratterizzato</w:t>
      </w:r>
      <w:r>
        <w:rPr>
          <w:spacing w:val="-28"/>
          <w:w w:val="105"/>
        </w:rPr>
        <w:t> </w:t>
      </w:r>
      <w:r>
        <w:rPr>
          <w:w w:val="105"/>
        </w:rPr>
        <w:t>da</w:t>
      </w:r>
      <w:r>
        <w:rPr>
          <w:spacing w:val="-28"/>
          <w:w w:val="105"/>
        </w:rPr>
        <w:t> </w:t>
      </w:r>
      <w:r>
        <w:rPr>
          <w:w w:val="105"/>
        </w:rPr>
        <w:t>due</w:t>
      </w:r>
      <w:r>
        <w:rPr>
          <w:spacing w:val="-27"/>
          <w:w w:val="105"/>
        </w:rPr>
        <w:t> </w:t>
      </w:r>
      <w:r>
        <w:rPr>
          <w:w w:val="105"/>
        </w:rPr>
        <w:t>fasi.</w:t>
      </w:r>
    </w:p>
    <w:p>
      <w:pPr>
        <w:pStyle w:val="BodyText"/>
        <w:spacing w:line="491" w:lineRule="auto"/>
        <w:ind w:left="400" w:right="2195"/>
        <w:jc w:val="both"/>
      </w:pPr>
      <w:r>
        <w:rPr>
          <w:w w:val="105"/>
        </w:rPr>
        <w:t>Successivamente al deposito della domanda di concordato in bianco il contenzioso</w:t>
      </w:r>
      <w:r>
        <w:rPr>
          <w:spacing w:val="-15"/>
          <w:w w:val="105"/>
        </w:rPr>
        <w:t> </w:t>
      </w:r>
      <w:r>
        <w:rPr>
          <w:w w:val="105"/>
        </w:rPr>
        <w:t>con</w:t>
      </w:r>
      <w:r>
        <w:rPr>
          <w:spacing w:val="-14"/>
          <w:w w:val="105"/>
        </w:rPr>
        <w:t> </w:t>
      </w:r>
      <w:r>
        <w:rPr>
          <w:w w:val="105"/>
        </w:rPr>
        <w:t>Andritz,</w:t>
      </w:r>
      <w:r>
        <w:rPr>
          <w:spacing w:val="-12"/>
          <w:w w:val="105"/>
        </w:rPr>
        <w:t> </w:t>
      </w:r>
      <w:r>
        <w:rPr>
          <w:w w:val="105"/>
        </w:rPr>
        <w:t>attualmente</w:t>
      </w:r>
      <w:r>
        <w:rPr>
          <w:spacing w:val="-14"/>
          <w:w w:val="105"/>
        </w:rPr>
        <w:t> </w:t>
      </w:r>
      <w:r>
        <w:rPr>
          <w:w w:val="105"/>
        </w:rPr>
        <w:t>nella</w:t>
      </w:r>
      <w:r>
        <w:rPr>
          <w:spacing w:val="-13"/>
          <w:w w:val="105"/>
        </w:rPr>
        <w:t> </w:t>
      </w:r>
      <w:r>
        <w:rPr>
          <w:w w:val="105"/>
        </w:rPr>
        <w:t>fase</w:t>
      </w:r>
      <w:r>
        <w:rPr>
          <w:spacing w:val="-13"/>
          <w:w w:val="105"/>
        </w:rPr>
        <w:t> </w:t>
      </w:r>
      <w:r>
        <w:rPr>
          <w:w w:val="105"/>
        </w:rPr>
        <w:t>di</w:t>
      </w:r>
      <w:r>
        <w:rPr>
          <w:spacing w:val="-15"/>
          <w:w w:val="105"/>
        </w:rPr>
        <w:t> </w:t>
      </w:r>
      <w:r>
        <w:rPr>
          <w:i/>
          <w:w w:val="105"/>
        </w:rPr>
        <w:t>discovery</w:t>
      </w:r>
      <w:r>
        <w:rPr>
          <w:i/>
          <w:spacing w:val="-17"/>
          <w:w w:val="105"/>
        </w:rPr>
        <w:t> </w:t>
      </w:r>
      <w:r>
        <w:rPr>
          <w:w w:val="105"/>
        </w:rPr>
        <w:t>americana,</w:t>
      </w:r>
      <w:r>
        <w:rPr>
          <w:spacing w:val="-14"/>
          <w:w w:val="105"/>
        </w:rPr>
        <w:t> </w:t>
      </w:r>
      <w:r>
        <w:rPr>
          <w:w w:val="105"/>
        </w:rPr>
        <w:t>è</w:t>
      </w:r>
      <w:r>
        <w:rPr>
          <w:spacing w:val="-15"/>
          <w:w w:val="105"/>
        </w:rPr>
        <w:t> </w:t>
      </w:r>
      <w:r>
        <w:rPr>
          <w:w w:val="105"/>
        </w:rPr>
        <w:t>stato sospeso in accoglimento di diverse istanze congiunta delle Parti. Da ultimo, la sospensione è stata accordata sino all’11 maggio 2018 e la prima udienza successiva alla sospensione volontaria del procedimento in parola è fissata per</w:t>
      </w:r>
      <w:r>
        <w:rPr>
          <w:spacing w:val="-14"/>
          <w:w w:val="105"/>
        </w:rPr>
        <w:t> </w:t>
      </w:r>
      <w:r>
        <w:rPr>
          <w:w w:val="105"/>
        </w:rPr>
        <w:t>il</w:t>
      </w:r>
      <w:r>
        <w:rPr>
          <w:spacing w:val="-14"/>
          <w:w w:val="105"/>
        </w:rPr>
        <w:t> </w:t>
      </w:r>
      <w:r>
        <w:rPr>
          <w:w w:val="105"/>
        </w:rPr>
        <w:t>29</w:t>
      </w:r>
      <w:r>
        <w:rPr>
          <w:spacing w:val="-13"/>
          <w:w w:val="105"/>
        </w:rPr>
        <w:t> </w:t>
      </w:r>
      <w:r>
        <w:rPr>
          <w:w w:val="105"/>
        </w:rPr>
        <w:t>maggio</w:t>
      </w:r>
      <w:r>
        <w:rPr>
          <w:spacing w:val="-14"/>
          <w:w w:val="105"/>
        </w:rPr>
        <w:t> </w:t>
      </w:r>
      <w:r>
        <w:rPr>
          <w:w w:val="105"/>
        </w:rPr>
        <w:t>2018.</w:t>
      </w:r>
    </w:p>
    <w:p>
      <w:pPr>
        <w:pStyle w:val="BodyText"/>
        <w:spacing w:line="491" w:lineRule="auto"/>
        <w:ind w:left="400" w:right="2195"/>
        <w:jc w:val="both"/>
      </w:pPr>
      <w:r>
        <w:rPr>
          <w:w w:val="105"/>
        </w:rPr>
        <w:t>Tra le parti sono intercorsi diversi tentativi di soluzione bonaria della vertenza, che, come si è visto, non hanno condotto all’esito sperato. Al riguardo, appare opportuno evidenziare che:</w:t>
      </w:r>
    </w:p>
    <w:p>
      <w:pPr>
        <w:pStyle w:val="ListParagraph"/>
        <w:numPr>
          <w:ilvl w:val="0"/>
          <w:numId w:val="17"/>
        </w:numPr>
        <w:tabs>
          <w:tab w:pos="1733" w:val="left" w:leader="none"/>
        </w:tabs>
        <w:spacing w:line="489" w:lineRule="auto" w:before="0" w:after="0"/>
        <w:ind w:left="934" w:right="2195" w:firstLine="533"/>
        <w:jc w:val="both"/>
        <w:rPr>
          <w:sz w:val="22"/>
        </w:rPr>
      </w:pPr>
      <w:r>
        <w:rPr>
          <w:w w:val="105"/>
          <w:sz w:val="22"/>
        </w:rPr>
        <w:t>il 24 gennaio 2018, si è tenuta una </w:t>
      </w:r>
      <w:r>
        <w:rPr>
          <w:i/>
          <w:w w:val="105"/>
          <w:sz w:val="22"/>
        </w:rPr>
        <w:t>call </w:t>
      </w:r>
      <w:r>
        <w:rPr>
          <w:w w:val="105"/>
          <w:sz w:val="22"/>
        </w:rPr>
        <w:t>tra i legali italiani di Andritz ed i consulenti legali italiani di M&amp;G Finanziaria, Beta Renewables e Biochemtex in data 24 gennaio 2018, nell’ambito della quale è stata rappresentata l’opportunità di trovare una soluzione transattiva della vertenza anche mediante eventuali accordi commerciali, che dovranno,  com’è ovvio, essere compatibili con   </w:t>
      </w:r>
      <w:r>
        <w:rPr>
          <w:spacing w:val="37"/>
          <w:w w:val="105"/>
          <w:sz w:val="22"/>
        </w:rPr>
        <w:t> </w:t>
      </w:r>
      <w:r>
        <w:rPr>
          <w:w w:val="105"/>
          <w:sz w:val="22"/>
        </w:rPr>
        <w:t>il</w:t>
      </w:r>
    </w:p>
    <w:p>
      <w:pPr>
        <w:spacing w:after="0" w:line="489" w:lineRule="auto"/>
        <w:jc w:val="both"/>
        <w:rPr>
          <w:sz w:val="22"/>
        </w:rPr>
        <w:sectPr>
          <w:pgSz w:w="12240" w:h="15840"/>
          <w:pgMar w:header="0" w:footer="790" w:top="1500" w:bottom="980" w:left="1720" w:right="1200"/>
        </w:sectPr>
      </w:pPr>
    </w:p>
    <w:p>
      <w:pPr>
        <w:pStyle w:val="BodyText"/>
        <w:spacing w:line="491" w:lineRule="auto" w:before="105"/>
        <w:ind w:left="934" w:right="2194"/>
      </w:pPr>
      <w:r>
        <w:rPr>
          <w:w w:val="105"/>
        </w:rPr>
        <w:t>processo</w:t>
      </w:r>
      <w:r>
        <w:rPr>
          <w:spacing w:val="-15"/>
          <w:w w:val="105"/>
        </w:rPr>
        <w:t> </w:t>
      </w:r>
      <w:r>
        <w:rPr>
          <w:w w:val="105"/>
        </w:rPr>
        <w:t>di</w:t>
      </w:r>
      <w:r>
        <w:rPr>
          <w:spacing w:val="-14"/>
          <w:w w:val="105"/>
        </w:rPr>
        <w:t> </w:t>
      </w:r>
      <w:r>
        <w:rPr>
          <w:w w:val="105"/>
        </w:rPr>
        <w:t>ristrutturazione</w:t>
      </w:r>
      <w:r>
        <w:rPr>
          <w:spacing w:val="-12"/>
          <w:w w:val="105"/>
        </w:rPr>
        <w:t> </w:t>
      </w:r>
      <w:r>
        <w:rPr>
          <w:w w:val="105"/>
        </w:rPr>
        <w:t>in</w:t>
      </w:r>
      <w:r>
        <w:rPr>
          <w:spacing w:val="-15"/>
          <w:w w:val="105"/>
        </w:rPr>
        <w:t> </w:t>
      </w:r>
      <w:r>
        <w:rPr>
          <w:w w:val="105"/>
        </w:rPr>
        <w:t>corso</w:t>
      </w:r>
      <w:r>
        <w:rPr>
          <w:spacing w:val="-15"/>
          <w:w w:val="105"/>
        </w:rPr>
        <w:t> </w:t>
      </w:r>
      <w:r>
        <w:rPr>
          <w:w w:val="105"/>
        </w:rPr>
        <w:t>e</w:t>
      </w:r>
      <w:r>
        <w:rPr>
          <w:spacing w:val="-15"/>
          <w:w w:val="105"/>
        </w:rPr>
        <w:t> </w:t>
      </w:r>
      <w:r>
        <w:rPr>
          <w:w w:val="105"/>
        </w:rPr>
        <w:t>con</w:t>
      </w:r>
      <w:r>
        <w:rPr>
          <w:spacing w:val="-15"/>
          <w:w w:val="105"/>
        </w:rPr>
        <w:t> </w:t>
      </w:r>
      <w:r>
        <w:rPr>
          <w:w w:val="105"/>
        </w:rPr>
        <w:t>la</w:t>
      </w:r>
      <w:r>
        <w:rPr>
          <w:spacing w:val="-15"/>
          <w:w w:val="105"/>
        </w:rPr>
        <w:t> </w:t>
      </w:r>
      <w:r>
        <w:rPr>
          <w:w w:val="105"/>
        </w:rPr>
        <w:t>presenza</w:t>
      </w:r>
      <w:r>
        <w:rPr>
          <w:spacing w:val="-14"/>
          <w:w w:val="105"/>
        </w:rPr>
        <w:t> </w:t>
      </w:r>
      <w:r>
        <w:rPr>
          <w:w w:val="105"/>
        </w:rPr>
        <w:t>potenziali</w:t>
      </w:r>
      <w:r>
        <w:rPr>
          <w:spacing w:val="-15"/>
          <w:w w:val="105"/>
        </w:rPr>
        <w:t> </w:t>
      </w:r>
      <w:r>
        <w:rPr>
          <w:w w:val="105"/>
        </w:rPr>
        <w:t>futuri offerenti</w:t>
      </w:r>
      <w:r>
        <w:rPr>
          <w:spacing w:val="-17"/>
          <w:w w:val="105"/>
        </w:rPr>
        <w:t> </w:t>
      </w:r>
      <w:r>
        <w:rPr>
          <w:w w:val="105"/>
        </w:rPr>
        <w:t>per</w:t>
      </w:r>
      <w:r>
        <w:rPr>
          <w:spacing w:val="-18"/>
          <w:w w:val="105"/>
        </w:rPr>
        <w:t> </w:t>
      </w:r>
      <w:r>
        <w:rPr>
          <w:w w:val="105"/>
        </w:rPr>
        <w:t>le</w:t>
      </w:r>
      <w:r>
        <w:rPr>
          <w:spacing w:val="-18"/>
          <w:w w:val="105"/>
        </w:rPr>
        <w:t> </w:t>
      </w:r>
      <w:r>
        <w:rPr>
          <w:w w:val="105"/>
        </w:rPr>
        <w:t>Società</w:t>
      </w:r>
      <w:r>
        <w:rPr>
          <w:spacing w:val="-19"/>
          <w:w w:val="105"/>
        </w:rPr>
        <w:t> </w:t>
      </w:r>
      <w:r>
        <w:rPr>
          <w:w w:val="105"/>
        </w:rPr>
        <w:t>oggetto</w:t>
      </w:r>
      <w:r>
        <w:rPr>
          <w:spacing w:val="-17"/>
          <w:w w:val="105"/>
        </w:rPr>
        <w:t> </w:t>
      </w:r>
      <w:r>
        <w:rPr>
          <w:w w:val="105"/>
        </w:rPr>
        <w:t>del</w:t>
      </w:r>
      <w:r>
        <w:rPr>
          <w:spacing w:val="-18"/>
          <w:w w:val="105"/>
        </w:rPr>
        <w:t> </w:t>
      </w:r>
      <w:r>
        <w:rPr>
          <w:w w:val="105"/>
        </w:rPr>
        <w:t>perimetro</w:t>
      </w:r>
      <w:r>
        <w:rPr>
          <w:spacing w:val="-17"/>
          <w:w w:val="105"/>
        </w:rPr>
        <w:t> </w:t>
      </w:r>
      <w:r>
        <w:rPr>
          <w:w w:val="105"/>
        </w:rPr>
        <w:t>del</w:t>
      </w:r>
      <w:r>
        <w:rPr>
          <w:spacing w:val="-18"/>
          <w:w w:val="105"/>
        </w:rPr>
        <w:t> </w:t>
      </w:r>
      <w:r>
        <w:rPr>
          <w:w w:val="105"/>
        </w:rPr>
        <w:t>processo</w:t>
      </w:r>
      <w:r>
        <w:rPr>
          <w:spacing w:val="-17"/>
          <w:w w:val="105"/>
        </w:rPr>
        <w:t> </w:t>
      </w:r>
      <w:r>
        <w:rPr>
          <w:w w:val="105"/>
        </w:rPr>
        <w:t>di</w:t>
      </w:r>
      <w:r>
        <w:rPr>
          <w:spacing w:val="-18"/>
          <w:w w:val="105"/>
        </w:rPr>
        <w:t> </w:t>
      </w:r>
      <w:r>
        <w:rPr>
          <w:w w:val="105"/>
        </w:rPr>
        <w:t>M&amp;A;</w:t>
      </w:r>
    </w:p>
    <w:p>
      <w:pPr>
        <w:pStyle w:val="ListParagraph"/>
        <w:numPr>
          <w:ilvl w:val="0"/>
          <w:numId w:val="17"/>
        </w:numPr>
        <w:tabs>
          <w:tab w:pos="1733" w:val="left" w:leader="none"/>
        </w:tabs>
        <w:spacing w:line="484" w:lineRule="auto" w:before="1" w:after="0"/>
        <w:ind w:left="934" w:right="2194" w:firstLine="533"/>
        <w:jc w:val="both"/>
        <w:rPr>
          <w:sz w:val="22"/>
        </w:rPr>
      </w:pPr>
      <w:r>
        <w:rPr>
          <w:w w:val="105"/>
          <w:sz w:val="22"/>
        </w:rPr>
        <w:t>il 30 gennaio 2018, è stata inviata una comunicazione, riservata</w:t>
      </w:r>
      <w:r>
        <w:rPr>
          <w:spacing w:val="-12"/>
          <w:w w:val="105"/>
          <w:sz w:val="22"/>
        </w:rPr>
        <w:t> </w:t>
      </w:r>
      <w:r>
        <w:rPr>
          <w:w w:val="105"/>
          <w:sz w:val="22"/>
        </w:rPr>
        <w:t>tra</w:t>
      </w:r>
      <w:r>
        <w:rPr>
          <w:spacing w:val="-14"/>
          <w:w w:val="105"/>
          <w:sz w:val="22"/>
        </w:rPr>
        <w:t> </w:t>
      </w:r>
      <w:r>
        <w:rPr>
          <w:w w:val="105"/>
          <w:sz w:val="22"/>
        </w:rPr>
        <w:t>legali,</w:t>
      </w:r>
      <w:r>
        <w:rPr>
          <w:spacing w:val="-13"/>
          <w:w w:val="105"/>
          <w:sz w:val="22"/>
        </w:rPr>
        <w:t> </w:t>
      </w:r>
      <w:r>
        <w:rPr>
          <w:w w:val="105"/>
          <w:sz w:val="22"/>
        </w:rPr>
        <w:t>avente</w:t>
      </w:r>
      <w:r>
        <w:rPr>
          <w:spacing w:val="-13"/>
          <w:w w:val="105"/>
          <w:sz w:val="22"/>
        </w:rPr>
        <w:t> </w:t>
      </w:r>
      <w:r>
        <w:rPr>
          <w:w w:val="105"/>
          <w:sz w:val="22"/>
        </w:rPr>
        <w:t>ad</w:t>
      </w:r>
      <w:r>
        <w:rPr>
          <w:spacing w:val="-13"/>
          <w:w w:val="105"/>
          <w:sz w:val="22"/>
        </w:rPr>
        <w:t> </w:t>
      </w:r>
      <w:r>
        <w:rPr>
          <w:w w:val="105"/>
          <w:sz w:val="22"/>
        </w:rPr>
        <w:t>oggetto</w:t>
      </w:r>
      <w:r>
        <w:rPr>
          <w:spacing w:val="-14"/>
          <w:w w:val="105"/>
          <w:sz w:val="22"/>
        </w:rPr>
        <w:t> </w:t>
      </w:r>
      <w:r>
        <w:rPr>
          <w:w w:val="105"/>
          <w:sz w:val="22"/>
        </w:rPr>
        <w:t>il</w:t>
      </w:r>
      <w:r>
        <w:rPr>
          <w:spacing w:val="-12"/>
          <w:w w:val="105"/>
          <w:sz w:val="22"/>
        </w:rPr>
        <w:t> </w:t>
      </w:r>
      <w:r>
        <w:rPr>
          <w:w w:val="105"/>
          <w:sz w:val="22"/>
        </w:rPr>
        <w:t>potenziale</w:t>
      </w:r>
      <w:r>
        <w:rPr>
          <w:spacing w:val="-12"/>
          <w:w w:val="105"/>
          <w:sz w:val="22"/>
        </w:rPr>
        <w:t> </w:t>
      </w:r>
      <w:r>
        <w:rPr>
          <w:w w:val="105"/>
          <w:sz w:val="22"/>
        </w:rPr>
        <w:t>contenuto</w:t>
      </w:r>
      <w:r>
        <w:rPr>
          <w:spacing w:val="-13"/>
          <w:w w:val="105"/>
          <w:sz w:val="22"/>
        </w:rPr>
        <w:t> </w:t>
      </w:r>
      <w:r>
        <w:rPr>
          <w:w w:val="105"/>
          <w:sz w:val="22"/>
        </w:rPr>
        <w:t>di</w:t>
      </w:r>
      <w:r>
        <w:rPr>
          <w:spacing w:val="-11"/>
          <w:w w:val="105"/>
          <w:sz w:val="22"/>
        </w:rPr>
        <w:t> </w:t>
      </w:r>
      <w:r>
        <w:rPr>
          <w:w w:val="105"/>
          <w:sz w:val="22"/>
        </w:rPr>
        <w:t>accordi commerciali.</w:t>
      </w:r>
    </w:p>
    <w:p>
      <w:pPr>
        <w:pStyle w:val="BodyText"/>
        <w:spacing w:line="491" w:lineRule="auto" w:before="7"/>
        <w:ind w:left="400" w:right="2195"/>
        <w:jc w:val="both"/>
      </w:pPr>
      <w:r>
        <w:rPr>
          <w:w w:val="105"/>
        </w:rPr>
        <w:t>È</w:t>
      </w:r>
      <w:r>
        <w:rPr>
          <w:spacing w:val="-12"/>
          <w:w w:val="105"/>
        </w:rPr>
        <w:t> </w:t>
      </w:r>
      <w:r>
        <w:rPr>
          <w:w w:val="105"/>
        </w:rPr>
        <w:t>poi</w:t>
      </w:r>
      <w:r>
        <w:rPr>
          <w:spacing w:val="-11"/>
          <w:w w:val="105"/>
        </w:rPr>
        <w:t> </w:t>
      </w:r>
      <w:r>
        <w:rPr>
          <w:w w:val="105"/>
        </w:rPr>
        <w:t>seguita</w:t>
      </w:r>
      <w:r>
        <w:rPr>
          <w:spacing w:val="-12"/>
          <w:w w:val="105"/>
        </w:rPr>
        <w:t> </w:t>
      </w:r>
      <w:r>
        <w:rPr>
          <w:w w:val="105"/>
        </w:rPr>
        <w:t>una</w:t>
      </w:r>
      <w:r>
        <w:rPr>
          <w:spacing w:val="-12"/>
          <w:w w:val="105"/>
        </w:rPr>
        <w:t> </w:t>
      </w:r>
      <w:r>
        <w:rPr>
          <w:w w:val="105"/>
        </w:rPr>
        <w:t>riunione</w:t>
      </w:r>
      <w:r>
        <w:rPr>
          <w:spacing w:val="-10"/>
          <w:w w:val="105"/>
        </w:rPr>
        <w:t> </w:t>
      </w:r>
      <w:r>
        <w:rPr>
          <w:w w:val="105"/>
        </w:rPr>
        <w:t>con</w:t>
      </w:r>
      <w:r>
        <w:rPr>
          <w:spacing w:val="-12"/>
          <w:w w:val="105"/>
        </w:rPr>
        <w:t> </w:t>
      </w:r>
      <w:r>
        <w:rPr>
          <w:w w:val="105"/>
        </w:rPr>
        <w:t>il</w:t>
      </w:r>
      <w:r>
        <w:rPr>
          <w:spacing w:val="-12"/>
          <w:w w:val="105"/>
        </w:rPr>
        <w:t> </w:t>
      </w:r>
      <w:r>
        <w:rPr>
          <w:i/>
          <w:w w:val="105"/>
        </w:rPr>
        <w:t>management</w:t>
      </w:r>
      <w:r>
        <w:rPr>
          <w:i/>
          <w:spacing w:val="-11"/>
          <w:w w:val="105"/>
        </w:rPr>
        <w:t> </w:t>
      </w:r>
      <w:r>
        <w:rPr>
          <w:w w:val="105"/>
        </w:rPr>
        <w:t>di</w:t>
      </w:r>
      <w:r>
        <w:rPr>
          <w:spacing w:val="-12"/>
          <w:w w:val="105"/>
        </w:rPr>
        <w:t> </w:t>
      </w:r>
      <w:r>
        <w:rPr>
          <w:w w:val="105"/>
        </w:rPr>
        <w:t>Andritz,</w:t>
      </w:r>
      <w:r>
        <w:rPr>
          <w:spacing w:val="-12"/>
          <w:w w:val="105"/>
        </w:rPr>
        <w:t> </w:t>
      </w:r>
      <w:r>
        <w:rPr>
          <w:w w:val="105"/>
        </w:rPr>
        <w:t>tenutasi</w:t>
      </w:r>
      <w:r>
        <w:rPr>
          <w:spacing w:val="-12"/>
          <w:w w:val="105"/>
        </w:rPr>
        <w:t> </w:t>
      </w:r>
      <w:r>
        <w:rPr>
          <w:w w:val="105"/>
        </w:rPr>
        <w:t>in</w:t>
      </w:r>
      <w:r>
        <w:rPr>
          <w:spacing w:val="-12"/>
          <w:w w:val="105"/>
        </w:rPr>
        <w:t> </w:t>
      </w:r>
      <w:r>
        <w:rPr>
          <w:w w:val="105"/>
        </w:rPr>
        <w:t>Austria</w:t>
      </w:r>
      <w:r>
        <w:rPr>
          <w:spacing w:val="-12"/>
          <w:w w:val="105"/>
        </w:rPr>
        <w:t> </w:t>
      </w:r>
      <w:r>
        <w:rPr>
          <w:w w:val="105"/>
        </w:rPr>
        <w:t>in data 1 febbraio 2018, cui hanno partecipato, oltre ai legali italiani ed a due componenti del Consiglio di Amministrazione di Andritz, i legali italiani di Biochemtex,</w:t>
      </w:r>
      <w:r>
        <w:rPr>
          <w:spacing w:val="-18"/>
          <w:w w:val="105"/>
        </w:rPr>
        <w:t> </w:t>
      </w:r>
      <w:r>
        <w:rPr>
          <w:w w:val="105"/>
        </w:rPr>
        <w:t>Beta</w:t>
      </w:r>
      <w:r>
        <w:rPr>
          <w:spacing w:val="-19"/>
          <w:w w:val="105"/>
        </w:rPr>
        <w:t> </w:t>
      </w:r>
      <w:r>
        <w:rPr>
          <w:w w:val="105"/>
        </w:rPr>
        <w:t>e</w:t>
      </w:r>
      <w:r>
        <w:rPr>
          <w:spacing w:val="-19"/>
          <w:w w:val="105"/>
        </w:rPr>
        <w:t> </w:t>
      </w:r>
      <w:r>
        <w:rPr>
          <w:w w:val="105"/>
        </w:rPr>
        <w:t>M&amp;G</w:t>
      </w:r>
      <w:r>
        <w:rPr>
          <w:spacing w:val="-19"/>
          <w:w w:val="105"/>
        </w:rPr>
        <w:t> </w:t>
      </w:r>
      <w:r>
        <w:rPr>
          <w:w w:val="105"/>
        </w:rPr>
        <w:t>Finanziaria,</w:t>
      </w:r>
      <w:r>
        <w:rPr>
          <w:spacing w:val="-19"/>
          <w:w w:val="105"/>
        </w:rPr>
        <w:t> </w:t>
      </w:r>
      <w:r>
        <w:rPr>
          <w:w w:val="105"/>
        </w:rPr>
        <w:t>nonché</w:t>
      </w:r>
      <w:r>
        <w:rPr>
          <w:spacing w:val="-19"/>
          <w:w w:val="105"/>
        </w:rPr>
        <w:t> </w:t>
      </w:r>
      <w:r>
        <w:rPr>
          <w:w w:val="105"/>
        </w:rPr>
        <w:t>gli</w:t>
      </w:r>
      <w:r>
        <w:rPr>
          <w:spacing w:val="-19"/>
          <w:w w:val="105"/>
        </w:rPr>
        <w:t> </w:t>
      </w:r>
      <w:r>
        <w:rPr>
          <w:w w:val="105"/>
        </w:rPr>
        <w:t>Amministratori</w:t>
      </w:r>
      <w:r>
        <w:rPr>
          <w:spacing w:val="-19"/>
          <w:w w:val="105"/>
        </w:rPr>
        <w:t> </w:t>
      </w:r>
      <w:r>
        <w:rPr>
          <w:w w:val="105"/>
        </w:rPr>
        <w:t>Delegati</w:t>
      </w:r>
      <w:r>
        <w:rPr>
          <w:spacing w:val="-19"/>
          <w:w w:val="105"/>
        </w:rPr>
        <w:t> </w:t>
      </w:r>
      <w:r>
        <w:rPr>
          <w:w w:val="105"/>
        </w:rPr>
        <w:t>di Biochemtex,</w:t>
      </w:r>
      <w:r>
        <w:rPr>
          <w:spacing w:val="-24"/>
          <w:w w:val="105"/>
        </w:rPr>
        <w:t> </w:t>
      </w:r>
      <w:r>
        <w:rPr>
          <w:w w:val="105"/>
        </w:rPr>
        <w:t>collegati</w:t>
      </w:r>
      <w:r>
        <w:rPr>
          <w:spacing w:val="-26"/>
          <w:w w:val="105"/>
        </w:rPr>
        <w:t> </w:t>
      </w:r>
      <w:r>
        <w:rPr>
          <w:w w:val="105"/>
        </w:rPr>
        <w:t>telefonicamente,</w:t>
      </w:r>
      <w:r>
        <w:rPr>
          <w:spacing w:val="-24"/>
          <w:w w:val="105"/>
        </w:rPr>
        <w:t> </w:t>
      </w:r>
      <w:r>
        <w:rPr>
          <w:w w:val="105"/>
        </w:rPr>
        <w:t>e</w:t>
      </w:r>
      <w:r>
        <w:rPr>
          <w:spacing w:val="-25"/>
          <w:w w:val="105"/>
        </w:rPr>
        <w:t> </w:t>
      </w:r>
      <w:r>
        <w:rPr>
          <w:w w:val="105"/>
        </w:rPr>
        <w:t>di</w:t>
      </w:r>
      <w:r>
        <w:rPr>
          <w:spacing w:val="-25"/>
          <w:w w:val="105"/>
        </w:rPr>
        <w:t> </w:t>
      </w:r>
      <w:r>
        <w:rPr>
          <w:w w:val="105"/>
        </w:rPr>
        <w:t>Beta.</w:t>
      </w:r>
    </w:p>
    <w:p>
      <w:pPr>
        <w:pStyle w:val="BodyText"/>
        <w:spacing w:line="491" w:lineRule="auto"/>
        <w:ind w:left="400" w:right="2196"/>
        <w:jc w:val="both"/>
      </w:pPr>
      <w:r>
        <w:rPr>
          <w:w w:val="105"/>
        </w:rPr>
        <w:t>All’esito della riunione uno degli amministratori di Andritz ha chiarito che quest’ultima</w:t>
      </w:r>
      <w:r>
        <w:rPr>
          <w:spacing w:val="-6"/>
          <w:w w:val="105"/>
        </w:rPr>
        <w:t> </w:t>
      </w:r>
      <w:r>
        <w:rPr>
          <w:w w:val="105"/>
        </w:rPr>
        <w:t>non</w:t>
      </w:r>
      <w:r>
        <w:rPr>
          <w:spacing w:val="-6"/>
          <w:w w:val="105"/>
        </w:rPr>
        <w:t> </w:t>
      </w:r>
      <w:r>
        <w:rPr>
          <w:w w:val="105"/>
        </w:rPr>
        <w:t>è</w:t>
      </w:r>
      <w:r>
        <w:rPr>
          <w:spacing w:val="-6"/>
          <w:w w:val="105"/>
        </w:rPr>
        <w:t> </w:t>
      </w:r>
      <w:r>
        <w:rPr>
          <w:w w:val="105"/>
        </w:rPr>
        <w:t>interessata,</w:t>
      </w:r>
      <w:r>
        <w:rPr>
          <w:spacing w:val="-6"/>
          <w:w w:val="105"/>
        </w:rPr>
        <w:t> </w:t>
      </w:r>
      <w:r>
        <w:rPr>
          <w:w w:val="105"/>
        </w:rPr>
        <w:t>allo</w:t>
      </w:r>
      <w:r>
        <w:rPr>
          <w:spacing w:val="-6"/>
          <w:w w:val="105"/>
        </w:rPr>
        <w:t> </w:t>
      </w:r>
      <w:r>
        <w:rPr>
          <w:w w:val="105"/>
        </w:rPr>
        <w:t>stato,</w:t>
      </w:r>
      <w:r>
        <w:rPr>
          <w:spacing w:val="-6"/>
          <w:w w:val="105"/>
        </w:rPr>
        <w:t> </w:t>
      </w:r>
      <w:r>
        <w:rPr>
          <w:w w:val="105"/>
        </w:rPr>
        <w:t>ad</w:t>
      </w:r>
      <w:r>
        <w:rPr>
          <w:spacing w:val="-5"/>
          <w:w w:val="105"/>
        </w:rPr>
        <w:t> </w:t>
      </w:r>
      <w:r>
        <w:rPr>
          <w:w w:val="105"/>
        </w:rPr>
        <w:t>alcun</w:t>
      </w:r>
      <w:r>
        <w:rPr>
          <w:spacing w:val="-5"/>
          <w:w w:val="105"/>
        </w:rPr>
        <w:t> </w:t>
      </w:r>
      <w:r>
        <w:rPr>
          <w:w w:val="105"/>
        </w:rPr>
        <w:t>accordo</w:t>
      </w:r>
      <w:r>
        <w:rPr>
          <w:spacing w:val="-4"/>
          <w:w w:val="105"/>
        </w:rPr>
        <w:t> </w:t>
      </w:r>
      <w:r>
        <w:rPr>
          <w:w w:val="105"/>
        </w:rPr>
        <w:t>commerciale</w:t>
      </w:r>
      <w:r>
        <w:rPr>
          <w:spacing w:val="-6"/>
          <w:w w:val="105"/>
        </w:rPr>
        <w:t> </w:t>
      </w:r>
      <w:r>
        <w:rPr>
          <w:w w:val="105"/>
        </w:rPr>
        <w:t>con le</w:t>
      </w:r>
      <w:r>
        <w:rPr>
          <w:spacing w:val="-19"/>
          <w:w w:val="105"/>
        </w:rPr>
        <w:t> </w:t>
      </w:r>
      <w:r>
        <w:rPr>
          <w:w w:val="105"/>
        </w:rPr>
        <w:t>Società</w:t>
      </w:r>
      <w:r>
        <w:rPr>
          <w:spacing w:val="-19"/>
          <w:w w:val="105"/>
        </w:rPr>
        <w:t> </w:t>
      </w:r>
      <w:r>
        <w:rPr>
          <w:w w:val="105"/>
        </w:rPr>
        <w:t>del</w:t>
      </w:r>
      <w:r>
        <w:rPr>
          <w:spacing w:val="-18"/>
          <w:w w:val="105"/>
        </w:rPr>
        <w:t> </w:t>
      </w:r>
      <w:r>
        <w:rPr>
          <w:w w:val="105"/>
        </w:rPr>
        <w:t>Gruppo.</w:t>
      </w:r>
    </w:p>
    <w:p>
      <w:pPr>
        <w:pStyle w:val="BodyText"/>
        <w:spacing w:line="491" w:lineRule="auto"/>
        <w:ind w:left="400" w:right="2196"/>
        <w:jc w:val="both"/>
      </w:pPr>
      <w:r>
        <w:rPr>
          <w:w w:val="105"/>
        </w:rPr>
        <w:t>In</w:t>
      </w:r>
      <w:r>
        <w:rPr>
          <w:spacing w:val="-13"/>
          <w:w w:val="105"/>
        </w:rPr>
        <w:t> </w:t>
      </w:r>
      <w:r>
        <w:rPr>
          <w:w w:val="105"/>
        </w:rPr>
        <w:t>data</w:t>
      </w:r>
      <w:r>
        <w:rPr>
          <w:spacing w:val="-13"/>
          <w:w w:val="105"/>
        </w:rPr>
        <w:t> </w:t>
      </w:r>
      <w:r>
        <w:rPr>
          <w:w w:val="105"/>
        </w:rPr>
        <w:t>15</w:t>
      </w:r>
      <w:r>
        <w:rPr>
          <w:spacing w:val="-13"/>
          <w:w w:val="105"/>
        </w:rPr>
        <w:t> </w:t>
      </w:r>
      <w:r>
        <w:rPr>
          <w:w w:val="105"/>
        </w:rPr>
        <w:t>febbraio</w:t>
      </w:r>
      <w:r>
        <w:rPr>
          <w:spacing w:val="-14"/>
          <w:w w:val="105"/>
        </w:rPr>
        <w:t> </w:t>
      </w:r>
      <w:r>
        <w:rPr>
          <w:w w:val="105"/>
        </w:rPr>
        <w:t>2018,</w:t>
      </w:r>
      <w:r>
        <w:rPr>
          <w:spacing w:val="-14"/>
          <w:w w:val="105"/>
        </w:rPr>
        <w:t> </w:t>
      </w:r>
      <w:r>
        <w:rPr>
          <w:w w:val="105"/>
        </w:rPr>
        <w:t>è</w:t>
      </w:r>
      <w:r>
        <w:rPr>
          <w:spacing w:val="-13"/>
          <w:w w:val="105"/>
        </w:rPr>
        <w:t> </w:t>
      </w:r>
      <w:r>
        <w:rPr>
          <w:w w:val="105"/>
        </w:rPr>
        <w:t>stata</w:t>
      </w:r>
      <w:r>
        <w:rPr>
          <w:spacing w:val="-14"/>
          <w:w w:val="105"/>
        </w:rPr>
        <w:t> </w:t>
      </w:r>
      <w:r>
        <w:rPr>
          <w:w w:val="105"/>
        </w:rPr>
        <w:t>programmata</w:t>
      </w:r>
      <w:r>
        <w:rPr>
          <w:spacing w:val="-13"/>
          <w:w w:val="105"/>
        </w:rPr>
        <w:t> </w:t>
      </w:r>
      <w:r>
        <w:rPr>
          <w:w w:val="105"/>
        </w:rPr>
        <w:t>una</w:t>
      </w:r>
      <w:r>
        <w:rPr>
          <w:spacing w:val="-12"/>
          <w:w w:val="105"/>
        </w:rPr>
        <w:t> </w:t>
      </w:r>
      <w:r>
        <w:rPr>
          <w:w w:val="105"/>
        </w:rPr>
        <w:t>visita</w:t>
      </w:r>
      <w:r>
        <w:rPr>
          <w:spacing w:val="-13"/>
          <w:w w:val="105"/>
        </w:rPr>
        <w:t> </w:t>
      </w:r>
      <w:r>
        <w:rPr>
          <w:w w:val="105"/>
        </w:rPr>
        <w:t>presso</w:t>
      </w:r>
      <w:r>
        <w:rPr>
          <w:spacing w:val="-12"/>
          <w:w w:val="105"/>
        </w:rPr>
        <w:t> </w:t>
      </w:r>
      <w:r>
        <w:rPr>
          <w:w w:val="105"/>
        </w:rPr>
        <w:t>l’impianto</w:t>
      </w:r>
      <w:r>
        <w:rPr>
          <w:spacing w:val="-13"/>
          <w:w w:val="105"/>
        </w:rPr>
        <w:t> </w:t>
      </w:r>
      <w:r>
        <w:rPr>
          <w:w w:val="105"/>
        </w:rPr>
        <w:t>di Crescentino, come convenuto nell’ambito della richiesta di sospensione del procedimento americano, alla quale hanno partecipato i legali americani e consulenti tecnici di Andritz, unitamente ai legali americani ed italiani di M&amp;G</w:t>
      </w:r>
      <w:r>
        <w:rPr>
          <w:spacing w:val="-19"/>
          <w:w w:val="105"/>
        </w:rPr>
        <w:t> </w:t>
      </w:r>
      <w:r>
        <w:rPr>
          <w:w w:val="105"/>
        </w:rPr>
        <w:t>Finanziaria,</w:t>
      </w:r>
      <w:r>
        <w:rPr>
          <w:spacing w:val="-19"/>
          <w:w w:val="105"/>
        </w:rPr>
        <w:t> </w:t>
      </w:r>
      <w:r>
        <w:rPr>
          <w:w w:val="105"/>
        </w:rPr>
        <w:t>Biochemtex</w:t>
      </w:r>
      <w:r>
        <w:rPr>
          <w:spacing w:val="-20"/>
          <w:w w:val="105"/>
        </w:rPr>
        <w:t> </w:t>
      </w:r>
      <w:r>
        <w:rPr>
          <w:w w:val="105"/>
        </w:rPr>
        <w:t>e</w:t>
      </w:r>
      <w:r>
        <w:rPr>
          <w:spacing w:val="-19"/>
          <w:w w:val="105"/>
        </w:rPr>
        <w:t> </w:t>
      </w:r>
      <w:r>
        <w:rPr>
          <w:w w:val="105"/>
        </w:rPr>
        <w:t>Beta,</w:t>
      </w:r>
      <w:r>
        <w:rPr>
          <w:spacing w:val="-18"/>
          <w:w w:val="105"/>
        </w:rPr>
        <w:t> </w:t>
      </w:r>
      <w:r>
        <w:rPr>
          <w:w w:val="105"/>
        </w:rPr>
        <w:t>con</w:t>
      </w:r>
      <w:r>
        <w:rPr>
          <w:spacing w:val="-20"/>
          <w:w w:val="105"/>
        </w:rPr>
        <w:t> </w:t>
      </w:r>
      <w:r>
        <w:rPr>
          <w:w w:val="105"/>
        </w:rPr>
        <w:t>alcuni</w:t>
      </w:r>
      <w:r>
        <w:rPr>
          <w:spacing w:val="-18"/>
          <w:w w:val="105"/>
        </w:rPr>
        <w:t> </w:t>
      </w:r>
      <w:r>
        <w:rPr>
          <w:w w:val="105"/>
        </w:rPr>
        <w:t>esponenti</w:t>
      </w:r>
      <w:r>
        <w:rPr>
          <w:spacing w:val="-20"/>
          <w:w w:val="105"/>
        </w:rPr>
        <w:t> </w:t>
      </w:r>
      <w:r>
        <w:rPr>
          <w:w w:val="105"/>
        </w:rPr>
        <w:t>delle</w:t>
      </w:r>
      <w:r>
        <w:rPr>
          <w:spacing w:val="-19"/>
          <w:w w:val="105"/>
        </w:rPr>
        <w:t> </w:t>
      </w:r>
      <w:r>
        <w:rPr>
          <w:w w:val="105"/>
        </w:rPr>
        <w:t>Società.</w:t>
      </w:r>
    </w:p>
    <w:p>
      <w:pPr>
        <w:pStyle w:val="BodyText"/>
        <w:spacing w:line="491" w:lineRule="auto" w:before="2"/>
        <w:ind w:left="400" w:right="2197"/>
        <w:jc w:val="both"/>
      </w:pPr>
      <w:r>
        <w:rPr>
          <w:w w:val="105"/>
        </w:rPr>
        <w:t>Successivamente</w:t>
      </w:r>
      <w:r>
        <w:rPr>
          <w:spacing w:val="-18"/>
          <w:w w:val="105"/>
        </w:rPr>
        <w:t> </w:t>
      </w:r>
      <w:r>
        <w:rPr>
          <w:w w:val="105"/>
        </w:rPr>
        <w:t>all’ottenimento</w:t>
      </w:r>
      <w:r>
        <w:rPr>
          <w:spacing w:val="-19"/>
          <w:w w:val="105"/>
        </w:rPr>
        <w:t> </w:t>
      </w:r>
      <w:r>
        <w:rPr>
          <w:w w:val="105"/>
        </w:rPr>
        <w:t>della</w:t>
      </w:r>
      <w:r>
        <w:rPr>
          <w:spacing w:val="-20"/>
          <w:w w:val="105"/>
        </w:rPr>
        <w:t> </w:t>
      </w:r>
      <w:r>
        <w:rPr>
          <w:w w:val="105"/>
        </w:rPr>
        <w:t>proroga</w:t>
      </w:r>
      <w:r>
        <w:rPr>
          <w:spacing w:val="-19"/>
          <w:w w:val="105"/>
        </w:rPr>
        <w:t> </w:t>
      </w:r>
      <w:r>
        <w:rPr>
          <w:w w:val="105"/>
        </w:rPr>
        <w:t>del</w:t>
      </w:r>
      <w:r>
        <w:rPr>
          <w:spacing w:val="-18"/>
          <w:w w:val="105"/>
        </w:rPr>
        <w:t> </w:t>
      </w:r>
      <w:r>
        <w:rPr>
          <w:w w:val="105"/>
        </w:rPr>
        <w:t>termine</w:t>
      </w:r>
      <w:r>
        <w:rPr>
          <w:spacing w:val="-19"/>
          <w:w w:val="105"/>
        </w:rPr>
        <w:t> </w:t>
      </w:r>
      <w:r>
        <w:rPr>
          <w:w w:val="105"/>
        </w:rPr>
        <w:t>per</w:t>
      </w:r>
      <w:r>
        <w:rPr>
          <w:spacing w:val="-20"/>
          <w:w w:val="105"/>
        </w:rPr>
        <w:t> </w:t>
      </w:r>
      <w:r>
        <w:rPr>
          <w:w w:val="105"/>
        </w:rPr>
        <w:t>il</w:t>
      </w:r>
      <w:r>
        <w:rPr>
          <w:spacing w:val="-19"/>
          <w:w w:val="105"/>
        </w:rPr>
        <w:t> </w:t>
      </w:r>
      <w:r>
        <w:rPr>
          <w:w w:val="105"/>
        </w:rPr>
        <w:t>deposito</w:t>
      </w:r>
      <w:r>
        <w:rPr>
          <w:spacing w:val="-20"/>
          <w:w w:val="105"/>
        </w:rPr>
        <w:t> </w:t>
      </w:r>
      <w:r>
        <w:rPr>
          <w:w w:val="105"/>
        </w:rPr>
        <w:t>del piano</w:t>
      </w:r>
      <w:r>
        <w:rPr>
          <w:spacing w:val="-13"/>
          <w:w w:val="105"/>
        </w:rPr>
        <w:t> </w:t>
      </w:r>
      <w:r>
        <w:rPr>
          <w:w w:val="105"/>
        </w:rPr>
        <w:t>e</w:t>
      </w:r>
      <w:r>
        <w:rPr>
          <w:spacing w:val="-13"/>
          <w:w w:val="105"/>
        </w:rPr>
        <w:t> </w:t>
      </w:r>
      <w:r>
        <w:rPr>
          <w:w w:val="105"/>
        </w:rPr>
        <w:t>della</w:t>
      </w:r>
      <w:r>
        <w:rPr>
          <w:spacing w:val="-13"/>
          <w:w w:val="105"/>
        </w:rPr>
        <w:t> </w:t>
      </w:r>
      <w:r>
        <w:rPr>
          <w:w w:val="105"/>
        </w:rPr>
        <w:t>proposta</w:t>
      </w:r>
      <w:r>
        <w:rPr>
          <w:spacing w:val="-12"/>
          <w:w w:val="105"/>
        </w:rPr>
        <w:t> </w:t>
      </w:r>
      <w:r>
        <w:rPr>
          <w:w w:val="105"/>
        </w:rPr>
        <w:t>della</w:t>
      </w:r>
      <w:r>
        <w:rPr>
          <w:spacing w:val="-13"/>
          <w:w w:val="105"/>
        </w:rPr>
        <w:t> </w:t>
      </w:r>
      <w:r>
        <w:rPr>
          <w:w w:val="105"/>
        </w:rPr>
        <w:t>Società</w:t>
      </w:r>
      <w:r>
        <w:rPr>
          <w:spacing w:val="-13"/>
          <w:w w:val="105"/>
        </w:rPr>
        <w:t> </w:t>
      </w:r>
      <w:r>
        <w:rPr>
          <w:w w:val="105"/>
        </w:rPr>
        <w:t>in</w:t>
      </w:r>
      <w:r>
        <w:rPr>
          <w:spacing w:val="-13"/>
          <w:w w:val="105"/>
        </w:rPr>
        <w:t> </w:t>
      </w:r>
      <w:r>
        <w:rPr>
          <w:w w:val="105"/>
        </w:rPr>
        <w:t>accoglimento</w:t>
      </w:r>
      <w:r>
        <w:rPr>
          <w:spacing w:val="-13"/>
          <w:w w:val="105"/>
        </w:rPr>
        <w:t> </w:t>
      </w:r>
      <w:r>
        <w:rPr>
          <w:w w:val="105"/>
        </w:rPr>
        <w:t>dell’istanza</w:t>
      </w:r>
      <w:r>
        <w:rPr>
          <w:spacing w:val="-13"/>
          <w:w w:val="105"/>
        </w:rPr>
        <w:t> </w:t>
      </w:r>
      <w:r>
        <w:rPr>
          <w:w w:val="105"/>
        </w:rPr>
        <w:t>della</w:t>
      </w:r>
      <w:r>
        <w:rPr>
          <w:spacing w:val="-13"/>
          <w:w w:val="105"/>
        </w:rPr>
        <w:t> </w:t>
      </w:r>
      <w:r>
        <w:rPr>
          <w:w w:val="105"/>
        </w:rPr>
        <w:t>Società in data 22 febbraio 2018, i legali americani di Andritz hanno chiesto la fissazione</w:t>
      </w:r>
      <w:r>
        <w:rPr>
          <w:spacing w:val="-15"/>
          <w:w w:val="105"/>
        </w:rPr>
        <w:t> </w:t>
      </w:r>
      <w:r>
        <w:rPr>
          <w:w w:val="105"/>
        </w:rPr>
        <w:t>di</w:t>
      </w:r>
      <w:r>
        <w:rPr>
          <w:spacing w:val="-15"/>
          <w:w w:val="105"/>
        </w:rPr>
        <w:t> </w:t>
      </w:r>
      <w:r>
        <w:rPr>
          <w:w w:val="105"/>
        </w:rPr>
        <w:t>una</w:t>
      </w:r>
      <w:r>
        <w:rPr>
          <w:spacing w:val="-15"/>
          <w:w w:val="105"/>
        </w:rPr>
        <w:t> </w:t>
      </w:r>
      <w:r>
        <w:rPr>
          <w:w w:val="105"/>
        </w:rPr>
        <w:t>nuova</w:t>
      </w:r>
      <w:r>
        <w:rPr>
          <w:spacing w:val="-13"/>
          <w:w w:val="105"/>
        </w:rPr>
        <w:t> </w:t>
      </w:r>
      <w:r>
        <w:rPr>
          <w:w w:val="105"/>
        </w:rPr>
        <w:t>conferenza</w:t>
      </w:r>
      <w:r>
        <w:rPr>
          <w:spacing w:val="-15"/>
          <w:w w:val="105"/>
        </w:rPr>
        <w:t> </w:t>
      </w:r>
      <w:r>
        <w:rPr>
          <w:w w:val="105"/>
        </w:rPr>
        <w:t>telefonica</w:t>
      </w:r>
      <w:r>
        <w:rPr>
          <w:spacing w:val="-15"/>
          <w:w w:val="105"/>
        </w:rPr>
        <w:t> </w:t>
      </w:r>
      <w:r>
        <w:rPr>
          <w:w w:val="105"/>
        </w:rPr>
        <w:t>per</w:t>
      </w:r>
      <w:r>
        <w:rPr>
          <w:spacing w:val="-14"/>
          <w:w w:val="105"/>
        </w:rPr>
        <w:t> </w:t>
      </w:r>
      <w:r>
        <w:rPr>
          <w:w w:val="105"/>
        </w:rPr>
        <w:t>discutere,</w:t>
      </w:r>
      <w:r>
        <w:rPr>
          <w:spacing w:val="-15"/>
          <w:w w:val="105"/>
        </w:rPr>
        <w:t> </w:t>
      </w:r>
      <w:r>
        <w:rPr>
          <w:w w:val="105"/>
        </w:rPr>
        <w:t>anche</w:t>
      </w:r>
      <w:r>
        <w:rPr>
          <w:spacing w:val="-15"/>
          <w:w w:val="105"/>
        </w:rPr>
        <w:t> </w:t>
      </w:r>
      <w:r>
        <w:rPr>
          <w:w w:val="105"/>
        </w:rPr>
        <w:t>insieme</w:t>
      </w:r>
      <w:r>
        <w:rPr>
          <w:spacing w:val="-14"/>
          <w:w w:val="105"/>
        </w:rPr>
        <w:t> </w:t>
      </w:r>
      <w:r>
        <w:rPr>
          <w:w w:val="105"/>
        </w:rPr>
        <w:t>ai legali</w:t>
      </w:r>
      <w:r>
        <w:rPr>
          <w:spacing w:val="-16"/>
          <w:w w:val="105"/>
        </w:rPr>
        <w:t> </w:t>
      </w:r>
      <w:r>
        <w:rPr>
          <w:w w:val="105"/>
        </w:rPr>
        <w:t>italiani</w:t>
      </w:r>
      <w:r>
        <w:rPr>
          <w:spacing w:val="-16"/>
          <w:w w:val="105"/>
        </w:rPr>
        <w:t> </w:t>
      </w:r>
      <w:r>
        <w:rPr>
          <w:w w:val="105"/>
        </w:rPr>
        <w:t>delle</w:t>
      </w:r>
      <w:r>
        <w:rPr>
          <w:spacing w:val="-16"/>
          <w:w w:val="105"/>
        </w:rPr>
        <w:t> </w:t>
      </w:r>
      <w:r>
        <w:rPr>
          <w:w w:val="105"/>
        </w:rPr>
        <w:t>parti,</w:t>
      </w:r>
      <w:r>
        <w:rPr>
          <w:spacing w:val="-16"/>
          <w:w w:val="105"/>
        </w:rPr>
        <w:t> </w:t>
      </w:r>
      <w:r>
        <w:rPr>
          <w:w w:val="105"/>
        </w:rPr>
        <w:t>un</w:t>
      </w:r>
      <w:r>
        <w:rPr>
          <w:spacing w:val="-16"/>
          <w:w w:val="105"/>
        </w:rPr>
        <w:t> </w:t>
      </w:r>
      <w:r>
        <w:rPr>
          <w:w w:val="105"/>
        </w:rPr>
        <w:t>ulteriore</w:t>
      </w:r>
      <w:r>
        <w:rPr>
          <w:spacing w:val="-17"/>
          <w:w w:val="105"/>
        </w:rPr>
        <w:t> </w:t>
      </w:r>
      <w:r>
        <w:rPr>
          <w:w w:val="105"/>
        </w:rPr>
        <w:t>tentativo</w:t>
      </w:r>
      <w:r>
        <w:rPr>
          <w:spacing w:val="-18"/>
          <w:w w:val="105"/>
        </w:rPr>
        <w:t> </w:t>
      </w:r>
      <w:r>
        <w:rPr>
          <w:w w:val="105"/>
        </w:rPr>
        <w:t>di</w:t>
      </w:r>
      <w:r>
        <w:rPr>
          <w:spacing w:val="-16"/>
          <w:w w:val="105"/>
        </w:rPr>
        <w:t> </w:t>
      </w:r>
      <w:r>
        <w:rPr>
          <w:w w:val="105"/>
        </w:rPr>
        <w:t>transazione</w:t>
      </w:r>
      <w:r>
        <w:rPr>
          <w:spacing w:val="-16"/>
          <w:w w:val="105"/>
        </w:rPr>
        <w:t> </w:t>
      </w:r>
      <w:r>
        <w:rPr>
          <w:w w:val="105"/>
        </w:rPr>
        <w:t>tra</w:t>
      </w:r>
      <w:r>
        <w:rPr>
          <w:spacing w:val="-16"/>
          <w:w w:val="105"/>
        </w:rPr>
        <w:t> </w:t>
      </w:r>
      <w:r>
        <w:rPr>
          <w:w w:val="105"/>
        </w:rPr>
        <w:t>le</w:t>
      </w:r>
      <w:r>
        <w:rPr>
          <w:spacing w:val="-16"/>
          <w:w w:val="105"/>
        </w:rPr>
        <w:t> </w:t>
      </w:r>
      <w:r>
        <w:rPr>
          <w:w w:val="105"/>
        </w:rPr>
        <w:t>parti.</w:t>
      </w:r>
    </w:p>
    <w:p>
      <w:pPr>
        <w:spacing w:after="0" w:line="491" w:lineRule="auto"/>
        <w:jc w:val="both"/>
        <w:sectPr>
          <w:pgSz w:w="12240" w:h="15840"/>
          <w:pgMar w:header="0" w:footer="790" w:top="1500" w:bottom="980" w:left="1720" w:right="1200"/>
        </w:sectPr>
      </w:pPr>
    </w:p>
    <w:p>
      <w:pPr>
        <w:pStyle w:val="BodyText"/>
        <w:spacing w:line="491" w:lineRule="auto" w:before="105"/>
        <w:ind w:left="400" w:right="2195"/>
        <w:jc w:val="both"/>
      </w:pPr>
      <w:r>
        <w:rPr>
          <w:w w:val="105"/>
        </w:rPr>
        <w:t>La menzionata conferenza telefonica si è tenuta in data 12 aprile 2018, alla presenza dei legali italiani e di quelli americani delle parti. Durante tale conferenza telefonica è stato fornito ai legali di Andritz un aggiornamento sulla procedura in corso e sul trattamento che i pretesi crediti risarcitori di Andritz dovrebbero ricevere nell’ambito del piano, alla luce dei pareri resi dal legale americano della Società in merito ai rischi derivanti dal contenzioso</w:t>
      </w:r>
      <w:r>
        <w:rPr>
          <w:spacing w:val="-10"/>
          <w:w w:val="105"/>
        </w:rPr>
        <w:t> </w:t>
      </w:r>
      <w:r>
        <w:rPr>
          <w:w w:val="105"/>
        </w:rPr>
        <w:t>in</w:t>
      </w:r>
      <w:r>
        <w:rPr>
          <w:spacing w:val="-11"/>
          <w:w w:val="105"/>
        </w:rPr>
        <w:t> </w:t>
      </w:r>
      <w:r>
        <w:rPr>
          <w:w w:val="105"/>
        </w:rPr>
        <w:t>parola</w:t>
      </w:r>
      <w:r>
        <w:rPr>
          <w:spacing w:val="-10"/>
          <w:w w:val="105"/>
        </w:rPr>
        <w:t> </w:t>
      </w:r>
      <w:r>
        <w:rPr>
          <w:w w:val="105"/>
        </w:rPr>
        <w:t>e</w:t>
      </w:r>
      <w:r>
        <w:rPr>
          <w:spacing w:val="-11"/>
          <w:w w:val="105"/>
        </w:rPr>
        <w:t> </w:t>
      </w:r>
      <w:r>
        <w:rPr>
          <w:w w:val="105"/>
        </w:rPr>
        <w:t>dai</w:t>
      </w:r>
      <w:r>
        <w:rPr>
          <w:spacing w:val="-11"/>
          <w:w w:val="105"/>
        </w:rPr>
        <w:t> </w:t>
      </w:r>
      <w:r>
        <w:rPr>
          <w:w w:val="105"/>
        </w:rPr>
        <w:t>consulenti</w:t>
      </w:r>
      <w:r>
        <w:rPr>
          <w:spacing w:val="-10"/>
          <w:w w:val="105"/>
        </w:rPr>
        <w:t> </w:t>
      </w:r>
      <w:r>
        <w:rPr>
          <w:w w:val="105"/>
        </w:rPr>
        <w:t>legali</w:t>
      </w:r>
      <w:r>
        <w:rPr>
          <w:spacing w:val="-10"/>
          <w:w w:val="105"/>
        </w:rPr>
        <w:t> </w:t>
      </w:r>
      <w:r>
        <w:rPr>
          <w:w w:val="105"/>
        </w:rPr>
        <w:t>italiani</w:t>
      </w:r>
      <w:r>
        <w:rPr>
          <w:spacing w:val="-10"/>
          <w:w w:val="105"/>
        </w:rPr>
        <w:t> </w:t>
      </w:r>
      <w:r>
        <w:rPr>
          <w:w w:val="105"/>
        </w:rPr>
        <w:t>(già</w:t>
      </w:r>
      <w:r>
        <w:rPr>
          <w:spacing w:val="-11"/>
          <w:w w:val="105"/>
        </w:rPr>
        <w:t> </w:t>
      </w:r>
      <w:r>
        <w:rPr>
          <w:w w:val="105"/>
        </w:rPr>
        <w:t>prodotti,</w:t>
      </w:r>
      <w:r>
        <w:rPr>
          <w:spacing w:val="-10"/>
          <w:w w:val="105"/>
        </w:rPr>
        <w:t> </w:t>
      </w:r>
      <w:r>
        <w:rPr>
          <w:w w:val="105"/>
        </w:rPr>
        <w:t>unitamente ad una traduzione di cortesia, </w:t>
      </w:r>
      <w:r>
        <w:rPr>
          <w:i/>
          <w:w w:val="105"/>
        </w:rPr>
        <w:t>sub </w:t>
      </w:r>
      <w:r>
        <w:rPr>
          <w:w w:val="105"/>
        </w:rPr>
        <w:t>docc. 59/A e 59/B), anche i fini della relativa allegazione alla memoria di deposito di Piano e Proposta di Concordato</w:t>
      </w:r>
      <w:r>
        <w:rPr>
          <w:spacing w:val="-22"/>
          <w:w w:val="105"/>
        </w:rPr>
        <w:t> </w:t>
      </w:r>
      <w:r>
        <w:rPr>
          <w:w w:val="105"/>
        </w:rPr>
        <w:t>Preventivo</w:t>
      </w:r>
      <w:r>
        <w:rPr>
          <w:spacing w:val="-22"/>
          <w:w w:val="105"/>
        </w:rPr>
        <w:t> </w:t>
      </w:r>
      <w:r>
        <w:rPr>
          <w:w w:val="105"/>
        </w:rPr>
        <w:t>che</w:t>
      </w:r>
      <w:r>
        <w:rPr>
          <w:spacing w:val="-23"/>
          <w:w w:val="105"/>
        </w:rPr>
        <w:t> </w:t>
      </w:r>
      <w:r>
        <w:rPr>
          <w:w w:val="105"/>
        </w:rPr>
        <w:t>viene</w:t>
      </w:r>
      <w:r>
        <w:rPr>
          <w:spacing w:val="-23"/>
          <w:w w:val="105"/>
        </w:rPr>
        <w:t> </w:t>
      </w:r>
      <w:r>
        <w:rPr>
          <w:w w:val="105"/>
        </w:rPr>
        <w:t>depositata</w:t>
      </w:r>
      <w:r>
        <w:rPr>
          <w:spacing w:val="-23"/>
          <w:w w:val="105"/>
        </w:rPr>
        <w:t> </w:t>
      </w:r>
      <w:r>
        <w:rPr>
          <w:w w:val="105"/>
        </w:rPr>
        <w:t>con</w:t>
      </w:r>
      <w:r>
        <w:rPr>
          <w:spacing w:val="-23"/>
          <w:w w:val="105"/>
        </w:rPr>
        <w:t> </w:t>
      </w:r>
      <w:r>
        <w:rPr>
          <w:w w:val="105"/>
        </w:rPr>
        <w:t>la</w:t>
      </w:r>
      <w:r>
        <w:rPr>
          <w:spacing w:val="-22"/>
          <w:w w:val="105"/>
        </w:rPr>
        <w:t> </w:t>
      </w:r>
      <w:r>
        <w:rPr>
          <w:w w:val="105"/>
        </w:rPr>
        <w:t>presente.</w:t>
      </w:r>
    </w:p>
    <w:p>
      <w:pPr>
        <w:pStyle w:val="BodyText"/>
        <w:spacing w:line="491" w:lineRule="auto" w:before="1"/>
        <w:ind w:left="400" w:right="2195"/>
        <w:jc w:val="both"/>
      </w:pPr>
      <w:r>
        <w:rPr>
          <w:w w:val="105"/>
        </w:rPr>
        <w:t>In</w:t>
      </w:r>
      <w:r>
        <w:rPr>
          <w:spacing w:val="-12"/>
          <w:w w:val="105"/>
        </w:rPr>
        <w:t> </w:t>
      </w:r>
      <w:r>
        <w:rPr>
          <w:w w:val="105"/>
        </w:rPr>
        <w:t>ragione</w:t>
      </w:r>
      <w:r>
        <w:rPr>
          <w:spacing w:val="-11"/>
          <w:w w:val="105"/>
        </w:rPr>
        <w:t> </w:t>
      </w:r>
      <w:r>
        <w:rPr>
          <w:w w:val="105"/>
        </w:rPr>
        <w:t>dell’esito</w:t>
      </w:r>
      <w:r>
        <w:rPr>
          <w:spacing w:val="-13"/>
          <w:w w:val="105"/>
        </w:rPr>
        <w:t> </w:t>
      </w:r>
      <w:r>
        <w:rPr>
          <w:w w:val="105"/>
        </w:rPr>
        <w:t>negativo</w:t>
      </w:r>
      <w:r>
        <w:rPr>
          <w:spacing w:val="-14"/>
          <w:w w:val="105"/>
        </w:rPr>
        <w:t> </w:t>
      </w:r>
      <w:r>
        <w:rPr>
          <w:w w:val="105"/>
        </w:rPr>
        <w:t>dei</w:t>
      </w:r>
      <w:r>
        <w:rPr>
          <w:spacing w:val="-12"/>
          <w:w w:val="105"/>
        </w:rPr>
        <w:t> </w:t>
      </w:r>
      <w:r>
        <w:rPr>
          <w:w w:val="105"/>
        </w:rPr>
        <w:t>contatti</w:t>
      </w:r>
      <w:r>
        <w:rPr>
          <w:spacing w:val="-14"/>
          <w:w w:val="105"/>
        </w:rPr>
        <w:t> </w:t>
      </w:r>
      <w:r>
        <w:rPr>
          <w:w w:val="105"/>
        </w:rPr>
        <w:t>intercorsi</w:t>
      </w:r>
      <w:r>
        <w:rPr>
          <w:spacing w:val="-13"/>
          <w:w w:val="105"/>
        </w:rPr>
        <w:t> </w:t>
      </w:r>
      <w:r>
        <w:rPr>
          <w:w w:val="105"/>
        </w:rPr>
        <w:t>tra</w:t>
      </w:r>
      <w:r>
        <w:rPr>
          <w:spacing w:val="-13"/>
          <w:w w:val="105"/>
        </w:rPr>
        <w:t> </w:t>
      </w:r>
      <w:r>
        <w:rPr>
          <w:w w:val="105"/>
        </w:rPr>
        <w:t>le</w:t>
      </w:r>
      <w:r>
        <w:rPr>
          <w:spacing w:val="-13"/>
          <w:w w:val="105"/>
        </w:rPr>
        <w:t> </w:t>
      </w:r>
      <w:r>
        <w:rPr>
          <w:w w:val="105"/>
        </w:rPr>
        <w:t>parti</w:t>
      </w:r>
      <w:r>
        <w:rPr>
          <w:spacing w:val="-13"/>
          <w:w w:val="105"/>
        </w:rPr>
        <w:t> </w:t>
      </w:r>
      <w:r>
        <w:rPr>
          <w:w w:val="105"/>
        </w:rPr>
        <w:t>per</w:t>
      </w:r>
      <w:r>
        <w:rPr>
          <w:spacing w:val="-13"/>
          <w:w w:val="105"/>
        </w:rPr>
        <w:t> </w:t>
      </w:r>
      <w:r>
        <w:rPr>
          <w:w w:val="105"/>
        </w:rPr>
        <w:t>addivenire a una composizione bonaria della vertenza, appare ragionevole ritenere che successivamente alla menzionata udienza del 29 maggio 2018 il procedimento americano di </w:t>
      </w:r>
      <w:r>
        <w:rPr>
          <w:i/>
          <w:w w:val="105"/>
        </w:rPr>
        <w:t>discovery </w:t>
      </w:r>
      <w:r>
        <w:rPr>
          <w:w w:val="105"/>
        </w:rPr>
        <w:t>riprenderà il suo naturale corso e, in particolare, verranno assunte le prove testimoniali e verranno esperite le consulenze</w:t>
      </w:r>
      <w:r>
        <w:rPr>
          <w:spacing w:val="-31"/>
          <w:w w:val="105"/>
        </w:rPr>
        <w:t> </w:t>
      </w:r>
      <w:r>
        <w:rPr>
          <w:w w:val="105"/>
        </w:rPr>
        <w:t>tecniche</w:t>
      </w:r>
      <w:r>
        <w:rPr>
          <w:spacing w:val="-30"/>
          <w:w w:val="105"/>
        </w:rPr>
        <w:t> </w:t>
      </w:r>
      <w:r>
        <w:rPr>
          <w:w w:val="105"/>
        </w:rPr>
        <w:t>previste</w:t>
      </w:r>
      <w:r>
        <w:rPr>
          <w:spacing w:val="-30"/>
          <w:w w:val="105"/>
        </w:rPr>
        <w:t> </w:t>
      </w:r>
      <w:r>
        <w:rPr>
          <w:w w:val="105"/>
        </w:rPr>
        <w:t>dal</w:t>
      </w:r>
      <w:r>
        <w:rPr>
          <w:spacing w:val="-30"/>
          <w:w w:val="105"/>
        </w:rPr>
        <w:t> </w:t>
      </w:r>
      <w:r>
        <w:rPr>
          <w:w w:val="105"/>
        </w:rPr>
        <w:t>procedimento</w:t>
      </w:r>
      <w:r>
        <w:rPr>
          <w:spacing w:val="-30"/>
          <w:w w:val="105"/>
        </w:rPr>
        <w:t> </w:t>
      </w:r>
      <w:r>
        <w:rPr>
          <w:w w:val="105"/>
        </w:rPr>
        <w:t>americano.</w:t>
      </w:r>
    </w:p>
    <w:p>
      <w:pPr>
        <w:pStyle w:val="BodyText"/>
        <w:spacing w:line="491" w:lineRule="auto"/>
        <w:ind w:left="400" w:right="2197"/>
        <w:jc w:val="both"/>
      </w:pPr>
      <w:r>
        <w:rPr>
          <w:color w:val="003A62"/>
          <w:w w:val="105"/>
        </w:rPr>
        <w:t>La fattispecie trova adeguata rappresentazione anche nell’Attestazione e costituisce oggetto di una specifica analisi di sensitività.</w:t>
      </w:r>
    </w:p>
    <w:p>
      <w:pPr>
        <w:pStyle w:val="Heading1"/>
        <w:spacing w:line="254" w:lineRule="exact"/>
        <w:ind w:left="400" w:firstLine="0"/>
        <w:jc w:val="both"/>
      </w:pPr>
      <w:r>
        <w:rPr/>
        <w:t>5.4.2 La vendita dell’immobile di Modugno</w:t>
      </w:r>
    </w:p>
    <w:p>
      <w:pPr>
        <w:pStyle w:val="BodyText"/>
        <w:spacing w:before="7"/>
        <w:rPr>
          <w:b/>
          <w:i/>
        </w:rPr>
      </w:pPr>
    </w:p>
    <w:p>
      <w:pPr>
        <w:pStyle w:val="BodyText"/>
        <w:spacing w:line="491" w:lineRule="auto"/>
        <w:ind w:left="400" w:right="2194"/>
        <w:jc w:val="both"/>
      </w:pPr>
      <w:r>
        <w:rPr>
          <w:w w:val="105"/>
        </w:rPr>
        <w:t>Come</w:t>
      </w:r>
      <w:r>
        <w:rPr>
          <w:spacing w:val="-14"/>
          <w:w w:val="105"/>
        </w:rPr>
        <w:t> </w:t>
      </w:r>
      <w:r>
        <w:rPr>
          <w:w w:val="105"/>
        </w:rPr>
        <w:t>anticipato</w:t>
      </w:r>
      <w:r>
        <w:rPr>
          <w:spacing w:val="-14"/>
          <w:w w:val="105"/>
        </w:rPr>
        <w:t> </w:t>
      </w:r>
      <w:r>
        <w:rPr>
          <w:w w:val="105"/>
        </w:rPr>
        <w:t>nelle</w:t>
      </w:r>
      <w:r>
        <w:rPr>
          <w:spacing w:val="-14"/>
          <w:w w:val="105"/>
        </w:rPr>
        <w:t> </w:t>
      </w:r>
      <w:r>
        <w:rPr>
          <w:w w:val="105"/>
        </w:rPr>
        <w:t>memorie</w:t>
      </w:r>
      <w:r>
        <w:rPr>
          <w:spacing w:val="-14"/>
          <w:w w:val="105"/>
        </w:rPr>
        <w:t> </w:t>
      </w:r>
      <w:r>
        <w:rPr>
          <w:w w:val="105"/>
        </w:rPr>
        <w:t>informative,</w:t>
      </w:r>
      <w:r>
        <w:rPr>
          <w:spacing w:val="-14"/>
          <w:w w:val="105"/>
        </w:rPr>
        <w:t> </w:t>
      </w:r>
      <w:r>
        <w:rPr>
          <w:w w:val="105"/>
        </w:rPr>
        <w:t>Biochemtex</w:t>
      </w:r>
      <w:r>
        <w:rPr>
          <w:spacing w:val="-14"/>
          <w:w w:val="105"/>
        </w:rPr>
        <w:t> </w:t>
      </w:r>
      <w:r>
        <w:rPr>
          <w:w w:val="105"/>
        </w:rPr>
        <w:t>e</w:t>
      </w:r>
      <w:r>
        <w:rPr>
          <w:spacing w:val="-14"/>
          <w:w w:val="105"/>
        </w:rPr>
        <w:t> </w:t>
      </w:r>
      <w:r>
        <w:rPr>
          <w:w w:val="105"/>
        </w:rPr>
        <w:t>i</w:t>
      </w:r>
      <w:r>
        <w:rPr>
          <w:spacing w:val="-14"/>
          <w:w w:val="105"/>
        </w:rPr>
        <w:t> </w:t>
      </w:r>
      <w:r>
        <w:rPr>
          <w:w w:val="105"/>
        </w:rPr>
        <w:t>consulenti</w:t>
      </w:r>
      <w:r>
        <w:rPr>
          <w:spacing w:val="-15"/>
          <w:w w:val="105"/>
        </w:rPr>
        <w:t> </w:t>
      </w:r>
      <w:r>
        <w:rPr>
          <w:w w:val="105"/>
        </w:rPr>
        <w:t>legali hanno predisposto la documentazione necessaria per conferire un (nuovo) mandato all’Agenzia Gabetti per la vendita dell’immobile di proprietà della Biochemtex S.p.A. sito in Modugno (Ba) e ciò in quanto il precedente mandato per la vendita del menzionato immobile è scaduto ed è  </w:t>
      </w:r>
      <w:r>
        <w:rPr>
          <w:spacing w:val="46"/>
          <w:w w:val="105"/>
        </w:rPr>
        <w:t> </w:t>
      </w:r>
      <w:r>
        <w:rPr>
          <w:w w:val="105"/>
        </w:rPr>
        <w:t>interesse</w:t>
      </w:r>
    </w:p>
    <w:p>
      <w:pPr>
        <w:spacing w:after="0" w:line="491" w:lineRule="auto"/>
        <w:jc w:val="both"/>
        <w:sectPr>
          <w:pgSz w:w="12240" w:h="15840"/>
          <w:pgMar w:header="0" w:footer="790" w:top="1500" w:bottom="980" w:left="1720" w:right="1200"/>
        </w:sectPr>
      </w:pPr>
    </w:p>
    <w:p>
      <w:pPr>
        <w:pStyle w:val="BodyText"/>
        <w:spacing w:line="491" w:lineRule="auto" w:before="105"/>
        <w:ind w:left="400" w:right="2196"/>
        <w:jc w:val="both"/>
      </w:pPr>
      <w:r>
        <w:rPr>
          <w:w w:val="105"/>
        </w:rPr>
        <w:t>della Società rinnovarlo mediante la sottoscrizione di un nuovo mandato affinché prosegua la ricerca di proposte di acquisto da parte di terzi.</w:t>
      </w:r>
    </w:p>
    <w:p>
      <w:pPr>
        <w:spacing w:line="491" w:lineRule="auto" w:before="1"/>
        <w:ind w:left="400" w:right="2194" w:firstLine="0"/>
        <w:jc w:val="both"/>
        <w:rPr>
          <w:i/>
          <w:sz w:val="22"/>
        </w:rPr>
      </w:pPr>
      <w:r>
        <w:rPr>
          <w:w w:val="105"/>
          <w:sz w:val="22"/>
        </w:rPr>
        <w:t>Com’è ovvio, il mandato in parola è stato adattato all’attuale procedura di concordato in bianco in cui si trova Biochemtex S.p.A. con espressa previsione</w:t>
      </w:r>
      <w:r>
        <w:rPr>
          <w:spacing w:val="2"/>
          <w:w w:val="105"/>
          <w:sz w:val="22"/>
        </w:rPr>
        <w:t> </w:t>
      </w:r>
      <w:r>
        <w:rPr>
          <w:w w:val="105"/>
          <w:sz w:val="22"/>
        </w:rPr>
        <w:t>che</w:t>
      </w:r>
      <w:r>
        <w:rPr>
          <w:spacing w:val="2"/>
          <w:w w:val="105"/>
          <w:sz w:val="22"/>
        </w:rPr>
        <w:t> </w:t>
      </w:r>
      <w:r>
        <w:rPr>
          <w:i/>
          <w:w w:val="105"/>
          <w:sz w:val="22"/>
        </w:rPr>
        <w:t>“è</w:t>
      </w:r>
      <w:r>
        <w:rPr>
          <w:i/>
          <w:spacing w:val="-9"/>
          <w:w w:val="105"/>
          <w:sz w:val="22"/>
        </w:rPr>
        <w:t> </w:t>
      </w:r>
      <w:r>
        <w:rPr>
          <w:i/>
          <w:w w:val="105"/>
          <w:sz w:val="22"/>
        </w:rPr>
        <w:t>funzionale</w:t>
      </w:r>
      <w:r>
        <w:rPr>
          <w:i/>
          <w:spacing w:val="-10"/>
          <w:w w:val="105"/>
          <w:sz w:val="22"/>
        </w:rPr>
        <w:t> </w:t>
      </w:r>
      <w:r>
        <w:rPr>
          <w:i/>
          <w:w w:val="105"/>
          <w:sz w:val="22"/>
        </w:rPr>
        <w:t>alla</w:t>
      </w:r>
      <w:r>
        <w:rPr>
          <w:i/>
          <w:spacing w:val="-10"/>
          <w:w w:val="105"/>
          <w:sz w:val="22"/>
        </w:rPr>
        <w:t> </w:t>
      </w:r>
      <w:r>
        <w:rPr>
          <w:i/>
          <w:w w:val="105"/>
          <w:sz w:val="22"/>
        </w:rPr>
        <w:t>ricerca</w:t>
      </w:r>
      <w:r>
        <w:rPr>
          <w:i/>
          <w:spacing w:val="-9"/>
          <w:w w:val="105"/>
          <w:sz w:val="22"/>
        </w:rPr>
        <w:t> </w:t>
      </w:r>
      <w:r>
        <w:rPr>
          <w:i/>
          <w:w w:val="105"/>
          <w:sz w:val="22"/>
        </w:rPr>
        <w:t>di</w:t>
      </w:r>
      <w:r>
        <w:rPr>
          <w:i/>
          <w:spacing w:val="-9"/>
          <w:w w:val="105"/>
          <w:sz w:val="22"/>
        </w:rPr>
        <w:t> </w:t>
      </w:r>
      <w:r>
        <w:rPr>
          <w:i/>
          <w:w w:val="105"/>
          <w:sz w:val="22"/>
        </w:rPr>
        <w:t>proposte</w:t>
      </w:r>
      <w:r>
        <w:rPr>
          <w:i/>
          <w:spacing w:val="-10"/>
          <w:w w:val="105"/>
          <w:sz w:val="22"/>
        </w:rPr>
        <w:t> </w:t>
      </w:r>
      <w:r>
        <w:rPr>
          <w:i/>
          <w:w w:val="105"/>
          <w:sz w:val="22"/>
        </w:rPr>
        <w:t>di</w:t>
      </w:r>
      <w:r>
        <w:rPr>
          <w:i/>
          <w:spacing w:val="-9"/>
          <w:w w:val="105"/>
          <w:sz w:val="22"/>
        </w:rPr>
        <w:t> </w:t>
      </w:r>
      <w:r>
        <w:rPr>
          <w:i/>
          <w:w w:val="105"/>
          <w:sz w:val="22"/>
        </w:rPr>
        <w:t>acquisto</w:t>
      </w:r>
      <w:r>
        <w:rPr>
          <w:i/>
          <w:spacing w:val="-9"/>
          <w:w w:val="105"/>
          <w:sz w:val="22"/>
        </w:rPr>
        <w:t> </w:t>
      </w:r>
      <w:r>
        <w:rPr>
          <w:i/>
          <w:w w:val="105"/>
          <w:sz w:val="22"/>
        </w:rPr>
        <w:t>da</w:t>
      </w:r>
      <w:r>
        <w:rPr>
          <w:i/>
          <w:spacing w:val="-9"/>
          <w:w w:val="105"/>
          <w:sz w:val="22"/>
        </w:rPr>
        <w:t> </w:t>
      </w:r>
      <w:r>
        <w:rPr>
          <w:i/>
          <w:w w:val="105"/>
          <w:sz w:val="22"/>
        </w:rPr>
        <w:t>assoggettare</w:t>
      </w:r>
      <w:r>
        <w:rPr>
          <w:i/>
          <w:spacing w:val="-11"/>
          <w:w w:val="105"/>
          <w:sz w:val="22"/>
        </w:rPr>
        <w:t> </w:t>
      </w:r>
      <w:r>
        <w:rPr>
          <w:i/>
          <w:w w:val="105"/>
          <w:sz w:val="22"/>
        </w:rPr>
        <w:t>ad</w:t>
      </w:r>
      <w:r>
        <w:rPr>
          <w:i/>
          <w:spacing w:val="-9"/>
          <w:w w:val="105"/>
          <w:sz w:val="22"/>
        </w:rPr>
        <w:t> </w:t>
      </w:r>
      <w:r>
        <w:rPr>
          <w:i/>
          <w:w w:val="105"/>
          <w:sz w:val="22"/>
        </w:rPr>
        <w:t>asta </w:t>
      </w:r>
      <w:r>
        <w:rPr>
          <w:i/>
          <w:w w:val="105"/>
          <w:sz w:val="22"/>
        </w:rPr>
        <w:t>competitiva ai sensi dell’art. 163-bis l. fall., non potendo la Scrivente accettare alcuna proposta in assenza di un provvedimento di autorizzazione o di aggiudicazione del </w:t>
      </w:r>
      <w:r>
        <w:rPr>
          <w:i/>
          <w:sz w:val="22"/>
        </w:rPr>
        <w:t>competente</w:t>
      </w:r>
      <w:r>
        <w:rPr>
          <w:i/>
          <w:spacing w:val="27"/>
          <w:sz w:val="22"/>
        </w:rPr>
        <w:t> </w:t>
      </w:r>
      <w:r>
        <w:rPr>
          <w:i/>
          <w:sz w:val="22"/>
        </w:rPr>
        <w:t>Tribunale.</w:t>
      </w:r>
    </w:p>
    <w:p>
      <w:pPr>
        <w:pStyle w:val="BodyText"/>
        <w:spacing w:line="491" w:lineRule="auto"/>
        <w:ind w:left="400" w:right="2194"/>
        <w:jc w:val="both"/>
      </w:pPr>
      <w:r>
        <w:rPr>
          <w:w w:val="105"/>
        </w:rPr>
        <w:t>In relazione all’effettivo conferimento del mandato in parola mediante sottoscrizione del documento prodotto </w:t>
      </w:r>
      <w:r>
        <w:rPr>
          <w:i/>
          <w:w w:val="105"/>
        </w:rPr>
        <w:t>sub </w:t>
      </w:r>
      <w:r>
        <w:rPr>
          <w:w w:val="105"/>
        </w:rPr>
        <w:t>doc. n. 27, la Biochemtex ha richiesto in data 1° dicembre 2017 il nullaosta commissariale per poter procedere con il rinnovo dell’incarico all’Agenzia Gabetti. Poiché l’atto in parola</w:t>
      </w:r>
      <w:r>
        <w:rPr>
          <w:spacing w:val="-12"/>
          <w:w w:val="105"/>
        </w:rPr>
        <w:t> </w:t>
      </w:r>
      <w:r>
        <w:rPr>
          <w:w w:val="105"/>
        </w:rPr>
        <w:t>rientra,</w:t>
      </w:r>
      <w:r>
        <w:rPr>
          <w:spacing w:val="-11"/>
          <w:w w:val="105"/>
        </w:rPr>
        <w:t> </w:t>
      </w:r>
      <w:r>
        <w:rPr>
          <w:w w:val="105"/>
        </w:rPr>
        <w:t>a</w:t>
      </w:r>
      <w:r>
        <w:rPr>
          <w:spacing w:val="-12"/>
          <w:w w:val="105"/>
        </w:rPr>
        <w:t> </w:t>
      </w:r>
      <w:r>
        <w:rPr>
          <w:w w:val="105"/>
        </w:rPr>
        <w:t>parere</w:t>
      </w:r>
      <w:r>
        <w:rPr>
          <w:spacing w:val="-13"/>
          <w:w w:val="105"/>
        </w:rPr>
        <w:t> </w:t>
      </w:r>
      <w:r>
        <w:rPr>
          <w:w w:val="105"/>
        </w:rPr>
        <w:t>di</w:t>
      </w:r>
      <w:r>
        <w:rPr>
          <w:spacing w:val="-12"/>
          <w:w w:val="105"/>
        </w:rPr>
        <w:t> </w:t>
      </w:r>
      <w:r>
        <w:rPr>
          <w:w w:val="105"/>
        </w:rPr>
        <w:t>chi</w:t>
      </w:r>
      <w:r>
        <w:rPr>
          <w:spacing w:val="-12"/>
          <w:w w:val="105"/>
        </w:rPr>
        <w:t> </w:t>
      </w:r>
      <w:r>
        <w:rPr>
          <w:w w:val="105"/>
        </w:rPr>
        <w:t>scrive,</w:t>
      </w:r>
      <w:r>
        <w:rPr>
          <w:spacing w:val="-12"/>
          <w:w w:val="105"/>
        </w:rPr>
        <w:t> </w:t>
      </w:r>
      <w:r>
        <w:rPr>
          <w:w w:val="105"/>
        </w:rPr>
        <w:t>negli</w:t>
      </w:r>
      <w:r>
        <w:rPr>
          <w:spacing w:val="-12"/>
          <w:w w:val="105"/>
        </w:rPr>
        <w:t> </w:t>
      </w:r>
      <w:r>
        <w:rPr>
          <w:w w:val="105"/>
        </w:rPr>
        <w:t>atti</w:t>
      </w:r>
      <w:r>
        <w:rPr>
          <w:spacing w:val="-12"/>
          <w:w w:val="105"/>
        </w:rPr>
        <w:t> </w:t>
      </w:r>
      <w:r>
        <w:rPr>
          <w:w w:val="105"/>
        </w:rPr>
        <w:t>di</w:t>
      </w:r>
      <w:r>
        <w:rPr>
          <w:spacing w:val="-12"/>
          <w:w w:val="105"/>
        </w:rPr>
        <w:t> </w:t>
      </w:r>
      <w:r>
        <w:rPr>
          <w:w w:val="105"/>
        </w:rPr>
        <w:t>ordinaria</w:t>
      </w:r>
      <w:r>
        <w:rPr>
          <w:spacing w:val="-13"/>
          <w:w w:val="105"/>
        </w:rPr>
        <w:t> </w:t>
      </w:r>
      <w:r>
        <w:rPr>
          <w:w w:val="105"/>
        </w:rPr>
        <w:t>amministrazione</w:t>
      </w:r>
      <w:r>
        <w:rPr>
          <w:spacing w:val="-11"/>
          <w:w w:val="105"/>
        </w:rPr>
        <w:t> </w:t>
      </w:r>
      <w:r>
        <w:rPr>
          <w:w w:val="105"/>
        </w:rPr>
        <w:t>e, pertanto, non necessita di alcuna formale autorizzazione giudiziale, attenendo peraltro all’eventuale vendita di un immobile non strategico di Biochemtex, Biochemtex ha provveduto alla relativa sottoscrizione in data 17 gennaio</w:t>
      </w:r>
      <w:r>
        <w:rPr>
          <w:spacing w:val="-41"/>
          <w:w w:val="105"/>
        </w:rPr>
        <w:t> </w:t>
      </w:r>
      <w:r>
        <w:rPr>
          <w:w w:val="105"/>
        </w:rPr>
        <w:t>2018.</w:t>
      </w:r>
    </w:p>
    <w:p>
      <w:pPr>
        <w:pStyle w:val="BodyText"/>
        <w:spacing w:line="491" w:lineRule="auto"/>
        <w:ind w:left="400" w:right="2196"/>
        <w:jc w:val="both"/>
      </w:pPr>
      <w:r>
        <w:rPr>
          <w:w w:val="105"/>
        </w:rPr>
        <w:t>Il perito estimatore, Arch. Massimiliano Bolamperti, incaricato con la valutazione</w:t>
      </w:r>
      <w:r>
        <w:rPr>
          <w:spacing w:val="-10"/>
          <w:w w:val="105"/>
        </w:rPr>
        <w:t> </w:t>
      </w:r>
      <w:r>
        <w:rPr>
          <w:w w:val="105"/>
        </w:rPr>
        <w:t>del</w:t>
      </w:r>
      <w:r>
        <w:rPr>
          <w:spacing w:val="-10"/>
          <w:w w:val="105"/>
        </w:rPr>
        <w:t> </w:t>
      </w:r>
      <w:r>
        <w:rPr>
          <w:w w:val="105"/>
        </w:rPr>
        <w:t>compendio</w:t>
      </w:r>
      <w:r>
        <w:rPr>
          <w:spacing w:val="-12"/>
          <w:w w:val="105"/>
        </w:rPr>
        <w:t> </w:t>
      </w:r>
      <w:r>
        <w:rPr>
          <w:w w:val="105"/>
        </w:rPr>
        <w:t>immobiliare</w:t>
      </w:r>
      <w:r>
        <w:rPr>
          <w:spacing w:val="-12"/>
          <w:w w:val="105"/>
        </w:rPr>
        <w:t> </w:t>
      </w:r>
      <w:r>
        <w:rPr>
          <w:w w:val="105"/>
        </w:rPr>
        <w:t>della</w:t>
      </w:r>
      <w:r>
        <w:rPr>
          <w:spacing w:val="-11"/>
          <w:w w:val="105"/>
        </w:rPr>
        <w:t> </w:t>
      </w:r>
      <w:r>
        <w:rPr>
          <w:w w:val="105"/>
        </w:rPr>
        <w:t>Società</w:t>
      </w:r>
      <w:r>
        <w:rPr>
          <w:spacing w:val="-10"/>
          <w:w w:val="105"/>
        </w:rPr>
        <w:t> </w:t>
      </w:r>
      <w:r>
        <w:rPr>
          <w:w w:val="105"/>
        </w:rPr>
        <w:t>sito</w:t>
      </w:r>
      <w:r>
        <w:rPr>
          <w:spacing w:val="-11"/>
          <w:w w:val="105"/>
        </w:rPr>
        <w:t> </w:t>
      </w:r>
      <w:r>
        <w:rPr>
          <w:w w:val="105"/>
        </w:rPr>
        <w:t>in</w:t>
      </w:r>
      <w:r>
        <w:rPr>
          <w:spacing w:val="-12"/>
          <w:w w:val="105"/>
        </w:rPr>
        <w:t> </w:t>
      </w:r>
      <w:r>
        <w:rPr>
          <w:w w:val="105"/>
        </w:rPr>
        <w:t>Modugno</w:t>
      </w:r>
      <w:r>
        <w:rPr>
          <w:spacing w:val="-10"/>
          <w:w w:val="105"/>
        </w:rPr>
        <w:t> </w:t>
      </w:r>
      <w:r>
        <w:rPr>
          <w:w w:val="105"/>
        </w:rPr>
        <w:t>(BA), ha indicato, come meglio descritto nel seguito, un valore di stima pari ad Euro</w:t>
      </w:r>
      <w:r>
        <w:rPr>
          <w:spacing w:val="-20"/>
          <w:w w:val="105"/>
        </w:rPr>
        <w:t> </w:t>
      </w:r>
      <w:r>
        <w:rPr>
          <w:w w:val="105"/>
        </w:rPr>
        <w:t>1.050.000,00</w:t>
      </w:r>
      <w:r>
        <w:rPr>
          <w:spacing w:val="-20"/>
          <w:w w:val="105"/>
        </w:rPr>
        <w:t> </w:t>
      </w:r>
      <w:r>
        <w:rPr>
          <w:w w:val="105"/>
        </w:rPr>
        <w:t>(</w:t>
      </w:r>
      <w:r>
        <w:rPr>
          <w:i/>
          <w:w w:val="105"/>
        </w:rPr>
        <w:t>cfr.</w:t>
      </w:r>
      <w:r>
        <w:rPr>
          <w:i/>
          <w:spacing w:val="-20"/>
          <w:w w:val="105"/>
        </w:rPr>
        <w:t> </w:t>
      </w:r>
      <w:r>
        <w:rPr>
          <w:b/>
          <w:w w:val="105"/>
        </w:rPr>
        <w:t>doc.</w:t>
      </w:r>
      <w:r>
        <w:rPr>
          <w:b/>
          <w:spacing w:val="-20"/>
          <w:w w:val="105"/>
        </w:rPr>
        <w:t> </w:t>
      </w:r>
      <w:r>
        <w:rPr>
          <w:b/>
          <w:w w:val="105"/>
        </w:rPr>
        <w:t>74</w:t>
      </w:r>
      <w:r>
        <w:rPr>
          <w:w w:val="105"/>
        </w:rPr>
        <w:t>).</w:t>
      </w:r>
    </w:p>
    <w:p>
      <w:pPr>
        <w:pStyle w:val="BodyText"/>
        <w:spacing w:line="491" w:lineRule="auto" w:before="1"/>
        <w:ind w:left="400" w:right="2196"/>
        <w:jc w:val="both"/>
      </w:pPr>
      <w:r>
        <w:rPr>
          <w:w w:val="105"/>
        </w:rPr>
        <w:t>Il Piano ipotizza, dunque, la dismissione dell’Immobile in esame entro il termine finale di dicembre 2024, anche mediante procedure competitive, al corrispettivo</w:t>
      </w:r>
      <w:r>
        <w:rPr>
          <w:spacing w:val="-13"/>
          <w:w w:val="105"/>
        </w:rPr>
        <w:t> </w:t>
      </w:r>
      <w:r>
        <w:rPr>
          <w:w w:val="105"/>
        </w:rPr>
        <w:t>minimo</w:t>
      </w:r>
      <w:r>
        <w:rPr>
          <w:spacing w:val="-13"/>
          <w:w w:val="105"/>
        </w:rPr>
        <w:t> </w:t>
      </w:r>
      <w:r>
        <w:rPr>
          <w:w w:val="105"/>
        </w:rPr>
        <w:t>di</w:t>
      </w:r>
      <w:r>
        <w:rPr>
          <w:spacing w:val="-12"/>
          <w:w w:val="105"/>
        </w:rPr>
        <w:t> </w:t>
      </w:r>
      <w:r>
        <w:rPr>
          <w:w w:val="105"/>
        </w:rPr>
        <w:t>Euro</w:t>
      </w:r>
      <w:r>
        <w:rPr>
          <w:spacing w:val="-13"/>
          <w:w w:val="105"/>
        </w:rPr>
        <w:t> </w:t>
      </w:r>
      <w:r>
        <w:rPr>
          <w:w w:val="105"/>
        </w:rPr>
        <w:t>1.050.000,00</w:t>
      </w:r>
      <w:r>
        <w:rPr>
          <w:spacing w:val="-12"/>
          <w:w w:val="105"/>
        </w:rPr>
        <w:t> </w:t>
      </w:r>
      <w:r>
        <w:rPr>
          <w:w w:val="105"/>
        </w:rPr>
        <w:t>dedotti</w:t>
      </w:r>
      <w:r>
        <w:rPr>
          <w:spacing w:val="-13"/>
          <w:w w:val="105"/>
        </w:rPr>
        <w:t> </w:t>
      </w:r>
      <w:r>
        <w:rPr>
          <w:w w:val="105"/>
        </w:rPr>
        <w:t>i</w:t>
      </w:r>
      <w:r>
        <w:rPr>
          <w:spacing w:val="-13"/>
          <w:w w:val="105"/>
        </w:rPr>
        <w:t> </w:t>
      </w:r>
      <w:r>
        <w:rPr>
          <w:w w:val="105"/>
        </w:rPr>
        <w:t>costi,</w:t>
      </w:r>
      <w:r>
        <w:rPr>
          <w:spacing w:val="-13"/>
          <w:w w:val="105"/>
        </w:rPr>
        <w:t> </w:t>
      </w:r>
      <w:r>
        <w:rPr>
          <w:w w:val="105"/>
        </w:rPr>
        <w:t>gli</w:t>
      </w:r>
      <w:r>
        <w:rPr>
          <w:spacing w:val="-13"/>
          <w:w w:val="105"/>
        </w:rPr>
        <w:t> </w:t>
      </w:r>
      <w:r>
        <w:rPr>
          <w:w w:val="105"/>
        </w:rPr>
        <w:t>oneri</w:t>
      </w:r>
      <w:r>
        <w:rPr>
          <w:spacing w:val="-13"/>
          <w:w w:val="105"/>
        </w:rPr>
        <w:t> </w:t>
      </w:r>
      <w:r>
        <w:rPr>
          <w:w w:val="105"/>
        </w:rPr>
        <w:t>e</w:t>
      </w:r>
      <w:r>
        <w:rPr>
          <w:spacing w:val="-13"/>
          <w:w w:val="105"/>
        </w:rPr>
        <w:t> </w:t>
      </w:r>
      <w:r>
        <w:rPr>
          <w:w w:val="105"/>
        </w:rPr>
        <w:t>le</w:t>
      </w:r>
      <w:r>
        <w:rPr>
          <w:spacing w:val="-13"/>
          <w:w w:val="105"/>
        </w:rPr>
        <w:t> </w:t>
      </w:r>
      <w:r>
        <w:rPr>
          <w:w w:val="105"/>
        </w:rPr>
        <w:t>spese</w:t>
      </w:r>
    </w:p>
    <w:p>
      <w:pPr>
        <w:spacing w:after="0" w:line="491" w:lineRule="auto"/>
        <w:jc w:val="both"/>
        <w:sectPr>
          <w:pgSz w:w="12240" w:h="15840"/>
          <w:pgMar w:header="0" w:footer="790" w:top="1500" w:bottom="980" w:left="1720" w:right="1200"/>
        </w:sectPr>
      </w:pPr>
    </w:p>
    <w:p>
      <w:pPr>
        <w:pStyle w:val="BodyText"/>
        <w:spacing w:line="491" w:lineRule="auto" w:before="105"/>
        <w:ind w:left="400" w:right="2196"/>
        <w:jc w:val="both"/>
      </w:pPr>
      <w:r>
        <w:rPr>
          <w:w w:val="105"/>
        </w:rPr>
        <w:t>collegate alla stessa dismissione, e dunque con un provento netto pari ad Euro 1.025.000,00, che verrà destinato prioritariamente all’integrale soddisfacimento del creditore UBI S.c.p.A. (ex-Carime) che è beneficiario dell’ipoteca</w:t>
      </w:r>
      <w:r>
        <w:rPr>
          <w:spacing w:val="-14"/>
          <w:w w:val="105"/>
        </w:rPr>
        <w:t> </w:t>
      </w:r>
      <w:r>
        <w:rPr>
          <w:w w:val="105"/>
        </w:rPr>
        <w:t>di</w:t>
      </w:r>
      <w:r>
        <w:rPr>
          <w:spacing w:val="-14"/>
          <w:w w:val="105"/>
        </w:rPr>
        <w:t> </w:t>
      </w:r>
      <w:r>
        <w:rPr>
          <w:w w:val="105"/>
        </w:rPr>
        <w:t>primo</w:t>
      </w:r>
      <w:r>
        <w:rPr>
          <w:spacing w:val="-13"/>
          <w:w w:val="105"/>
        </w:rPr>
        <w:t> </w:t>
      </w:r>
      <w:r>
        <w:rPr>
          <w:w w:val="105"/>
        </w:rPr>
        <w:t>grado</w:t>
      </w:r>
      <w:r>
        <w:rPr>
          <w:spacing w:val="-14"/>
          <w:w w:val="105"/>
        </w:rPr>
        <w:t> </w:t>
      </w:r>
      <w:r>
        <w:rPr>
          <w:w w:val="105"/>
        </w:rPr>
        <w:t>iscritta</w:t>
      </w:r>
      <w:r>
        <w:rPr>
          <w:spacing w:val="-13"/>
          <w:w w:val="105"/>
        </w:rPr>
        <w:t> </w:t>
      </w:r>
      <w:r>
        <w:rPr>
          <w:w w:val="105"/>
        </w:rPr>
        <w:t>sul</w:t>
      </w:r>
      <w:r>
        <w:rPr>
          <w:spacing w:val="-15"/>
          <w:w w:val="105"/>
        </w:rPr>
        <w:t> </w:t>
      </w:r>
      <w:r>
        <w:rPr>
          <w:w w:val="105"/>
        </w:rPr>
        <w:t>medesimo</w:t>
      </w:r>
      <w:r>
        <w:rPr>
          <w:spacing w:val="-14"/>
          <w:w w:val="105"/>
        </w:rPr>
        <w:t> </w:t>
      </w:r>
      <w:r>
        <w:rPr>
          <w:w w:val="105"/>
        </w:rPr>
        <w:t>immobile</w:t>
      </w:r>
      <w:r>
        <w:rPr>
          <w:spacing w:val="-14"/>
          <w:w w:val="105"/>
        </w:rPr>
        <w:t> </w:t>
      </w:r>
      <w:r>
        <w:rPr>
          <w:w w:val="105"/>
        </w:rPr>
        <w:t>e,</w:t>
      </w:r>
      <w:r>
        <w:rPr>
          <w:spacing w:val="-14"/>
          <w:w w:val="105"/>
        </w:rPr>
        <w:t> </w:t>
      </w:r>
      <w:r>
        <w:rPr>
          <w:w w:val="105"/>
        </w:rPr>
        <w:t>per</w:t>
      </w:r>
      <w:r>
        <w:rPr>
          <w:spacing w:val="-13"/>
          <w:w w:val="105"/>
        </w:rPr>
        <w:t> </w:t>
      </w:r>
      <w:r>
        <w:rPr>
          <w:w w:val="105"/>
        </w:rPr>
        <w:t>la</w:t>
      </w:r>
      <w:r>
        <w:rPr>
          <w:spacing w:val="-14"/>
          <w:w w:val="105"/>
        </w:rPr>
        <w:t> </w:t>
      </w:r>
      <w:r>
        <w:rPr>
          <w:w w:val="105"/>
        </w:rPr>
        <w:t>porzione residua,</w:t>
      </w:r>
      <w:r>
        <w:rPr>
          <w:spacing w:val="-13"/>
          <w:w w:val="105"/>
        </w:rPr>
        <w:t> </w:t>
      </w:r>
      <w:r>
        <w:rPr>
          <w:w w:val="105"/>
        </w:rPr>
        <w:t>a</w:t>
      </w:r>
      <w:r>
        <w:rPr>
          <w:spacing w:val="-14"/>
          <w:w w:val="105"/>
        </w:rPr>
        <w:t> </w:t>
      </w:r>
      <w:r>
        <w:rPr>
          <w:w w:val="105"/>
        </w:rPr>
        <w:t>favore</w:t>
      </w:r>
      <w:r>
        <w:rPr>
          <w:spacing w:val="-14"/>
          <w:w w:val="105"/>
        </w:rPr>
        <w:t> </w:t>
      </w:r>
      <w:r>
        <w:rPr>
          <w:w w:val="105"/>
        </w:rPr>
        <w:t>degli</w:t>
      </w:r>
      <w:r>
        <w:rPr>
          <w:spacing w:val="-14"/>
          <w:w w:val="105"/>
        </w:rPr>
        <w:t> </w:t>
      </w:r>
      <w:r>
        <w:rPr>
          <w:w w:val="105"/>
        </w:rPr>
        <w:t>altri</w:t>
      </w:r>
      <w:r>
        <w:rPr>
          <w:spacing w:val="-14"/>
          <w:w w:val="105"/>
        </w:rPr>
        <w:t> </w:t>
      </w:r>
      <w:r>
        <w:rPr>
          <w:w w:val="105"/>
        </w:rPr>
        <w:t>creditori</w:t>
      </w:r>
      <w:r>
        <w:rPr>
          <w:spacing w:val="-14"/>
          <w:w w:val="105"/>
        </w:rPr>
        <w:t> </w:t>
      </w:r>
      <w:r>
        <w:rPr>
          <w:w w:val="105"/>
        </w:rPr>
        <w:t>nei</w:t>
      </w:r>
      <w:r>
        <w:rPr>
          <w:spacing w:val="-14"/>
          <w:w w:val="105"/>
        </w:rPr>
        <w:t> </w:t>
      </w:r>
      <w:r>
        <w:rPr>
          <w:w w:val="105"/>
        </w:rPr>
        <w:t>termini</w:t>
      </w:r>
      <w:r>
        <w:rPr>
          <w:spacing w:val="-15"/>
          <w:w w:val="105"/>
        </w:rPr>
        <w:t> </w:t>
      </w:r>
      <w:r>
        <w:rPr>
          <w:w w:val="105"/>
        </w:rPr>
        <w:t>di</w:t>
      </w:r>
      <w:r>
        <w:rPr>
          <w:spacing w:val="-13"/>
          <w:w w:val="105"/>
        </w:rPr>
        <w:t> </w:t>
      </w:r>
      <w:r>
        <w:rPr>
          <w:w w:val="105"/>
        </w:rPr>
        <w:t>cui</w:t>
      </w:r>
      <w:r>
        <w:rPr>
          <w:spacing w:val="-14"/>
          <w:w w:val="105"/>
        </w:rPr>
        <w:t> </w:t>
      </w:r>
      <w:r>
        <w:rPr>
          <w:w w:val="105"/>
        </w:rPr>
        <w:t>al</w:t>
      </w:r>
      <w:r>
        <w:rPr>
          <w:spacing w:val="-14"/>
          <w:w w:val="105"/>
        </w:rPr>
        <w:t> </w:t>
      </w:r>
      <w:r>
        <w:rPr>
          <w:w w:val="105"/>
        </w:rPr>
        <w:t>Piano.</w:t>
      </w:r>
    </w:p>
    <w:p>
      <w:pPr>
        <w:spacing w:after="0" w:line="491" w:lineRule="auto"/>
        <w:jc w:val="both"/>
        <w:sectPr>
          <w:pgSz w:w="12240" w:h="15840"/>
          <w:pgMar w:header="0" w:footer="790" w:top="1500" w:bottom="980" w:left="1720" w:right="1200"/>
        </w:sectPr>
      </w:pPr>
    </w:p>
    <w:p>
      <w:pPr>
        <w:pStyle w:val="Heading2"/>
        <w:spacing w:before="105"/>
        <w:ind w:right="2273"/>
      </w:pPr>
      <w:bookmarkStart w:name="_TOC_250031" w:id="21"/>
      <w:bookmarkEnd w:id="21"/>
      <w:r>
        <w:rPr>
          <w:w w:val="105"/>
        </w:rPr>
        <w:t>CAPITOLO 6</w:t>
      </w:r>
    </w:p>
    <w:p>
      <w:pPr>
        <w:pStyle w:val="BodyText"/>
        <w:rPr>
          <w:b/>
          <w:sz w:val="23"/>
        </w:rPr>
      </w:pPr>
    </w:p>
    <w:p>
      <w:pPr>
        <w:spacing w:line="491" w:lineRule="auto" w:before="0"/>
        <w:ind w:left="475" w:right="2273" w:firstLine="0"/>
        <w:jc w:val="center"/>
        <w:rPr>
          <w:b/>
          <w:sz w:val="22"/>
        </w:rPr>
      </w:pPr>
      <w:r>
        <w:rPr>
          <w:b/>
          <w:w w:val="105"/>
          <w:sz w:val="22"/>
        </w:rPr>
        <w:t>La</w:t>
      </w:r>
      <w:r>
        <w:rPr>
          <w:b/>
          <w:spacing w:val="-20"/>
          <w:w w:val="105"/>
          <w:sz w:val="22"/>
        </w:rPr>
        <w:t> </w:t>
      </w:r>
      <w:r>
        <w:rPr>
          <w:b/>
          <w:w w:val="105"/>
          <w:sz w:val="22"/>
        </w:rPr>
        <w:t>aggiornata</w:t>
      </w:r>
      <w:r>
        <w:rPr>
          <w:b/>
          <w:spacing w:val="-19"/>
          <w:w w:val="105"/>
          <w:sz w:val="22"/>
        </w:rPr>
        <w:t> </w:t>
      </w:r>
      <w:r>
        <w:rPr>
          <w:b/>
          <w:w w:val="105"/>
          <w:sz w:val="22"/>
        </w:rPr>
        <w:t>relazione</w:t>
      </w:r>
      <w:r>
        <w:rPr>
          <w:b/>
          <w:spacing w:val="-21"/>
          <w:w w:val="105"/>
          <w:sz w:val="22"/>
        </w:rPr>
        <w:t> </w:t>
      </w:r>
      <w:r>
        <w:rPr>
          <w:b/>
          <w:w w:val="105"/>
          <w:sz w:val="22"/>
        </w:rPr>
        <w:t>sulla</w:t>
      </w:r>
      <w:r>
        <w:rPr>
          <w:b/>
          <w:spacing w:val="-20"/>
          <w:w w:val="105"/>
          <w:sz w:val="22"/>
        </w:rPr>
        <w:t> </w:t>
      </w:r>
      <w:r>
        <w:rPr>
          <w:b/>
          <w:w w:val="105"/>
          <w:sz w:val="22"/>
        </w:rPr>
        <w:t>situazione</w:t>
      </w:r>
      <w:r>
        <w:rPr>
          <w:b/>
          <w:spacing w:val="-20"/>
          <w:w w:val="105"/>
          <w:sz w:val="22"/>
        </w:rPr>
        <w:t> </w:t>
      </w:r>
      <w:r>
        <w:rPr>
          <w:b/>
          <w:w w:val="105"/>
          <w:sz w:val="22"/>
        </w:rPr>
        <w:t>patrimoniale,</w:t>
      </w:r>
      <w:r>
        <w:rPr>
          <w:b/>
          <w:spacing w:val="-20"/>
          <w:w w:val="105"/>
          <w:sz w:val="22"/>
        </w:rPr>
        <w:t> </w:t>
      </w:r>
      <w:r>
        <w:rPr>
          <w:b/>
          <w:w w:val="105"/>
          <w:sz w:val="22"/>
        </w:rPr>
        <w:t>economica</w:t>
      </w:r>
      <w:r>
        <w:rPr>
          <w:b/>
          <w:spacing w:val="-21"/>
          <w:w w:val="105"/>
          <w:sz w:val="22"/>
        </w:rPr>
        <w:t> </w:t>
      </w:r>
      <w:r>
        <w:rPr>
          <w:b/>
          <w:w w:val="105"/>
          <w:sz w:val="22"/>
        </w:rPr>
        <w:t>e finanziaria</w:t>
      </w:r>
      <w:r>
        <w:rPr>
          <w:b/>
          <w:spacing w:val="-17"/>
          <w:w w:val="105"/>
          <w:sz w:val="22"/>
        </w:rPr>
        <w:t> </w:t>
      </w:r>
      <w:r>
        <w:rPr>
          <w:b/>
          <w:w w:val="105"/>
          <w:sz w:val="22"/>
        </w:rPr>
        <w:t>della</w:t>
      </w:r>
      <w:r>
        <w:rPr>
          <w:b/>
          <w:spacing w:val="-17"/>
          <w:w w:val="105"/>
          <w:sz w:val="22"/>
        </w:rPr>
        <w:t> </w:t>
      </w:r>
      <w:r>
        <w:rPr>
          <w:b/>
          <w:w w:val="105"/>
          <w:sz w:val="22"/>
        </w:rPr>
        <w:t>Società</w:t>
      </w:r>
      <w:r>
        <w:rPr>
          <w:b/>
          <w:spacing w:val="-16"/>
          <w:w w:val="105"/>
          <w:sz w:val="22"/>
        </w:rPr>
        <w:t> </w:t>
      </w:r>
      <w:r>
        <w:rPr>
          <w:b/>
          <w:w w:val="105"/>
          <w:sz w:val="22"/>
        </w:rPr>
        <w:t>e</w:t>
      </w:r>
      <w:r>
        <w:rPr>
          <w:b/>
          <w:spacing w:val="-17"/>
          <w:w w:val="105"/>
          <w:sz w:val="22"/>
        </w:rPr>
        <w:t> </w:t>
      </w:r>
      <w:r>
        <w:rPr>
          <w:b/>
          <w:w w:val="105"/>
          <w:sz w:val="22"/>
        </w:rPr>
        <w:t>lo</w:t>
      </w:r>
      <w:r>
        <w:rPr>
          <w:b/>
          <w:spacing w:val="-17"/>
          <w:w w:val="105"/>
          <w:sz w:val="22"/>
        </w:rPr>
        <w:t> </w:t>
      </w:r>
      <w:r>
        <w:rPr>
          <w:b/>
          <w:w w:val="105"/>
          <w:sz w:val="22"/>
        </w:rPr>
        <w:t>stato</w:t>
      </w:r>
      <w:r>
        <w:rPr>
          <w:b/>
          <w:spacing w:val="-17"/>
          <w:w w:val="105"/>
          <w:sz w:val="22"/>
        </w:rPr>
        <w:t> </w:t>
      </w:r>
      <w:r>
        <w:rPr>
          <w:b/>
          <w:w w:val="105"/>
          <w:sz w:val="22"/>
        </w:rPr>
        <w:t>analitico</w:t>
      </w:r>
      <w:r>
        <w:rPr>
          <w:b/>
          <w:spacing w:val="-17"/>
          <w:w w:val="105"/>
          <w:sz w:val="22"/>
        </w:rPr>
        <w:t> </w:t>
      </w:r>
      <w:r>
        <w:rPr>
          <w:b/>
          <w:w w:val="105"/>
          <w:sz w:val="22"/>
        </w:rPr>
        <w:t>estimativo</w:t>
      </w:r>
      <w:r>
        <w:rPr>
          <w:b/>
          <w:spacing w:val="-18"/>
          <w:w w:val="105"/>
          <w:sz w:val="22"/>
        </w:rPr>
        <w:t> </w:t>
      </w:r>
      <w:r>
        <w:rPr>
          <w:b/>
          <w:w w:val="105"/>
          <w:sz w:val="22"/>
        </w:rPr>
        <w:t>delle</w:t>
      </w:r>
      <w:r>
        <w:rPr>
          <w:b/>
          <w:spacing w:val="-17"/>
          <w:w w:val="105"/>
          <w:sz w:val="22"/>
        </w:rPr>
        <w:t> </w:t>
      </w:r>
      <w:r>
        <w:rPr>
          <w:b/>
          <w:w w:val="105"/>
          <w:sz w:val="22"/>
        </w:rPr>
        <w:t>attività</w:t>
      </w:r>
      <w:r>
        <w:rPr>
          <w:b/>
          <w:spacing w:val="-17"/>
          <w:w w:val="105"/>
          <w:sz w:val="22"/>
        </w:rPr>
        <w:t> </w:t>
      </w:r>
      <w:r>
        <w:rPr>
          <w:b/>
          <w:w w:val="105"/>
          <w:sz w:val="22"/>
        </w:rPr>
        <w:t>ai sensi</w:t>
      </w:r>
      <w:r>
        <w:rPr>
          <w:b/>
          <w:spacing w:val="-18"/>
          <w:w w:val="105"/>
          <w:sz w:val="22"/>
        </w:rPr>
        <w:t> </w:t>
      </w:r>
      <w:r>
        <w:rPr>
          <w:b/>
          <w:w w:val="105"/>
          <w:sz w:val="22"/>
        </w:rPr>
        <w:t>dell’art.</w:t>
      </w:r>
      <w:r>
        <w:rPr>
          <w:b/>
          <w:spacing w:val="-16"/>
          <w:w w:val="105"/>
          <w:sz w:val="22"/>
        </w:rPr>
        <w:t> </w:t>
      </w:r>
      <w:r>
        <w:rPr>
          <w:b/>
          <w:w w:val="105"/>
          <w:sz w:val="22"/>
        </w:rPr>
        <w:t>161,</w:t>
      </w:r>
      <w:r>
        <w:rPr>
          <w:b/>
          <w:spacing w:val="-18"/>
          <w:w w:val="105"/>
          <w:sz w:val="22"/>
        </w:rPr>
        <w:t> </w:t>
      </w:r>
      <w:r>
        <w:rPr>
          <w:b/>
          <w:w w:val="105"/>
          <w:sz w:val="22"/>
        </w:rPr>
        <w:t>comma</w:t>
      </w:r>
      <w:r>
        <w:rPr>
          <w:b/>
          <w:spacing w:val="-17"/>
          <w:w w:val="105"/>
          <w:sz w:val="22"/>
        </w:rPr>
        <w:t> </w:t>
      </w:r>
      <w:r>
        <w:rPr>
          <w:b/>
          <w:w w:val="105"/>
          <w:sz w:val="22"/>
        </w:rPr>
        <w:t>2,</w:t>
      </w:r>
      <w:r>
        <w:rPr>
          <w:b/>
          <w:spacing w:val="-17"/>
          <w:w w:val="105"/>
          <w:sz w:val="22"/>
        </w:rPr>
        <w:t> </w:t>
      </w:r>
      <w:r>
        <w:rPr>
          <w:b/>
          <w:w w:val="105"/>
          <w:sz w:val="22"/>
        </w:rPr>
        <w:t>lettera</w:t>
      </w:r>
      <w:r>
        <w:rPr>
          <w:b/>
          <w:spacing w:val="-16"/>
          <w:w w:val="105"/>
          <w:sz w:val="22"/>
        </w:rPr>
        <w:t> </w:t>
      </w:r>
      <w:r>
        <w:rPr>
          <w:b/>
          <w:w w:val="105"/>
          <w:sz w:val="22"/>
        </w:rPr>
        <w:t>a),</w:t>
      </w:r>
      <w:r>
        <w:rPr>
          <w:b/>
          <w:spacing w:val="-17"/>
          <w:w w:val="105"/>
          <w:sz w:val="22"/>
        </w:rPr>
        <w:t> </w:t>
      </w:r>
      <w:r>
        <w:rPr>
          <w:b/>
          <w:w w:val="105"/>
          <w:sz w:val="22"/>
        </w:rPr>
        <w:t>legge</w:t>
      </w:r>
      <w:r>
        <w:rPr>
          <w:b/>
          <w:spacing w:val="-16"/>
          <w:w w:val="105"/>
          <w:sz w:val="22"/>
        </w:rPr>
        <w:t> </w:t>
      </w:r>
      <w:r>
        <w:rPr>
          <w:b/>
          <w:w w:val="105"/>
          <w:sz w:val="22"/>
        </w:rPr>
        <w:t>fall.</w:t>
      </w:r>
    </w:p>
    <w:p>
      <w:pPr>
        <w:pStyle w:val="BodyText"/>
        <w:spacing w:line="491" w:lineRule="auto"/>
        <w:ind w:left="400" w:right="2194"/>
        <w:jc w:val="both"/>
      </w:pPr>
      <w:r>
        <w:rPr>
          <w:w w:val="105"/>
        </w:rPr>
        <w:t>Si</w:t>
      </w:r>
      <w:r>
        <w:rPr>
          <w:spacing w:val="-14"/>
          <w:w w:val="105"/>
        </w:rPr>
        <w:t> </w:t>
      </w:r>
      <w:r>
        <w:rPr>
          <w:w w:val="105"/>
        </w:rPr>
        <w:t>produce</w:t>
      </w:r>
      <w:r>
        <w:rPr>
          <w:spacing w:val="-14"/>
          <w:w w:val="105"/>
        </w:rPr>
        <w:t> </w:t>
      </w:r>
      <w:r>
        <w:rPr>
          <w:w w:val="105"/>
        </w:rPr>
        <w:t>unitamente</w:t>
      </w:r>
      <w:r>
        <w:rPr>
          <w:spacing w:val="-14"/>
          <w:w w:val="105"/>
        </w:rPr>
        <w:t> </w:t>
      </w:r>
      <w:r>
        <w:rPr>
          <w:w w:val="105"/>
        </w:rPr>
        <w:t>al</w:t>
      </w:r>
      <w:r>
        <w:rPr>
          <w:spacing w:val="-14"/>
          <w:w w:val="105"/>
        </w:rPr>
        <w:t> </w:t>
      </w:r>
      <w:r>
        <w:rPr>
          <w:w w:val="105"/>
        </w:rPr>
        <w:t>Piano</w:t>
      </w:r>
      <w:r>
        <w:rPr>
          <w:spacing w:val="-14"/>
          <w:w w:val="105"/>
        </w:rPr>
        <w:t> </w:t>
      </w:r>
      <w:r>
        <w:rPr>
          <w:w w:val="105"/>
        </w:rPr>
        <w:t>di</w:t>
      </w:r>
      <w:r>
        <w:rPr>
          <w:spacing w:val="-14"/>
          <w:w w:val="105"/>
        </w:rPr>
        <w:t> </w:t>
      </w:r>
      <w:r>
        <w:rPr>
          <w:w w:val="105"/>
        </w:rPr>
        <w:t>Concordato</w:t>
      </w:r>
      <w:r>
        <w:rPr>
          <w:spacing w:val="-14"/>
          <w:w w:val="105"/>
        </w:rPr>
        <w:t> </w:t>
      </w:r>
      <w:r>
        <w:rPr>
          <w:w w:val="105"/>
        </w:rPr>
        <w:t>(cfr.</w:t>
      </w:r>
      <w:r>
        <w:rPr>
          <w:spacing w:val="-15"/>
          <w:w w:val="105"/>
        </w:rPr>
        <w:t> </w:t>
      </w:r>
      <w:r>
        <w:rPr>
          <w:w w:val="105"/>
        </w:rPr>
        <w:t>doc.</w:t>
      </w:r>
      <w:r>
        <w:rPr>
          <w:spacing w:val="-14"/>
          <w:w w:val="105"/>
        </w:rPr>
        <w:t> </w:t>
      </w:r>
      <w:r>
        <w:rPr>
          <w:w w:val="105"/>
        </w:rPr>
        <w:t>66)</w:t>
      </w:r>
      <w:r>
        <w:rPr>
          <w:spacing w:val="-14"/>
          <w:w w:val="105"/>
        </w:rPr>
        <w:t> </w:t>
      </w:r>
      <w:r>
        <w:rPr>
          <w:w w:val="105"/>
        </w:rPr>
        <w:t>la</w:t>
      </w:r>
      <w:r>
        <w:rPr>
          <w:spacing w:val="-15"/>
          <w:w w:val="105"/>
        </w:rPr>
        <w:t> </w:t>
      </w:r>
      <w:r>
        <w:rPr>
          <w:w w:val="105"/>
        </w:rPr>
        <w:t>relazione</w:t>
      </w:r>
      <w:r>
        <w:rPr>
          <w:spacing w:val="-14"/>
          <w:w w:val="105"/>
        </w:rPr>
        <w:t> </w:t>
      </w:r>
      <w:r>
        <w:rPr>
          <w:w w:val="105"/>
        </w:rPr>
        <w:t>sulla situazione patrimoniale, economica e finanziaria della Società (cfr. doc. 66), con</w:t>
      </w:r>
      <w:r>
        <w:rPr>
          <w:spacing w:val="-8"/>
          <w:w w:val="105"/>
        </w:rPr>
        <w:t> </w:t>
      </w:r>
      <w:r>
        <w:rPr>
          <w:w w:val="105"/>
        </w:rPr>
        <w:t>un’aggiornata</w:t>
      </w:r>
      <w:r>
        <w:rPr>
          <w:spacing w:val="-7"/>
          <w:w w:val="105"/>
        </w:rPr>
        <w:t> </w:t>
      </w:r>
      <w:r>
        <w:rPr>
          <w:w w:val="105"/>
        </w:rPr>
        <w:t>situazione</w:t>
      </w:r>
      <w:r>
        <w:rPr>
          <w:spacing w:val="-9"/>
          <w:w w:val="105"/>
        </w:rPr>
        <w:t> </w:t>
      </w:r>
      <w:r>
        <w:rPr>
          <w:w w:val="105"/>
        </w:rPr>
        <w:t>patrimoniale</w:t>
      </w:r>
      <w:r>
        <w:rPr>
          <w:spacing w:val="-8"/>
          <w:w w:val="105"/>
        </w:rPr>
        <w:t> </w:t>
      </w:r>
      <w:r>
        <w:rPr>
          <w:w w:val="105"/>
        </w:rPr>
        <w:t>al</w:t>
      </w:r>
      <w:r>
        <w:rPr>
          <w:spacing w:val="-8"/>
          <w:w w:val="105"/>
        </w:rPr>
        <w:t> </w:t>
      </w:r>
      <w:r>
        <w:rPr>
          <w:w w:val="105"/>
        </w:rPr>
        <w:t>15</w:t>
      </w:r>
      <w:r>
        <w:rPr>
          <w:spacing w:val="-8"/>
          <w:w w:val="105"/>
        </w:rPr>
        <w:t> </w:t>
      </w:r>
      <w:r>
        <w:rPr>
          <w:w w:val="105"/>
        </w:rPr>
        <w:t>ottobre</w:t>
      </w:r>
      <w:r>
        <w:rPr>
          <w:spacing w:val="-9"/>
          <w:w w:val="105"/>
        </w:rPr>
        <w:t> </w:t>
      </w:r>
      <w:r>
        <w:rPr>
          <w:w w:val="105"/>
        </w:rPr>
        <w:t>2017</w:t>
      </w:r>
      <w:r>
        <w:rPr>
          <w:spacing w:val="-8"/>
          <w:w w:val="105"/>
        </w:rPr>
        <w:t> </w:t>
      </w:r>
      <w:r>
        <w:rPr>
          <w:w w:val="105"/>
        </w:rPr>
        <w:t>(cfr.</w:t>
      </w:r>
      <w:r>
        <w:rPr>
          <w:spacing w:val="-8"/>
          <w:w w:val="105"/>
        </w:rPr>
        <w:t> </w:t>
      </w:r>
      <w:r>
        <w:rPr>
          <w:w w:val="105"/>
        </w:rPr>
        <w:t>doc.</w:t>
      </w:r>
      <w:r>
        <w:rPr>
          <w:spacing w:val="-8"/>
          <w:w w:val="105"/>
        </w:rPr>
        <w:t> </w:t>
      </w:r>
      <w:r>
        <w:rPr>
          <w:w w:val="105"/>
        </w:rPr>
        <w:t>66)</w:t>
      </w:r>
      <w:r>
        <w:rPr>
          <w:spacing w:val="-7"/>
          <w:w w:val="105"/>
        </w:rPr>
        <w:t> </w:t>
      </w:r>
      <w:r>
        <w:rPr>
          <w:w w:val="105"/>
        </w:rPr>
        <w:t>e lo stato analitico ed estimativo delle attività alla stessa data (cfr. doc. 66), e qui da intendersi per integralmente ritrascritti, precisandosi che la data di riferimento</w:t>
      </w:r>
      <w:r>
        <w:rPr>
          <w:spacing w:val="-5"/>
          <w:w w:val="105"/>
        </w:rPr>
        <w:t> </w:t>
      </w:r>
      <w:r>
        <w:rPr>
          <w:w w:val="105"/>
        </w:rPr>
        <w:t>al</w:t>
      </w:r>
      <w:r>
        <w:rPr>
          <w:spacing w:val="-5"/>
          <w:w w:val="105"/>
        </w:rPr>
        <w:t> </w:t>
      </w:r>
      <w:r>
        <w:rPr>
          <w:w w:val="105"/>
        </w:rPr>
        <w:t>fine</w:t>
      </w:r>
      <w:r>
        <w:rPr>
          <w:spacing w:val="-6"/>
          <w:w w:val="105"/>
        </w:rPr>
        <w:t> </w:t>
      </w:r>
      <w:r>
        <w:rPr>
          <w:w w:val="105"/>
        </w:rPr>
        <w:t>dell’identificazione</w:t>
      </w:r>
      <w:r>
        <w:rPr>
          <w:spacing w:val="-5"/>
          <w:w w:val="105"/>
        </w:rPr>
        <w:t> </w:t>
      </w:r>
      <w:r>
        <w:rPr>
          <w:w w:val="105"/>
        </w:rPr>
        <w:t>dei</w:t>
      </w:r>
      <w:r>
        <w:rPr>
          <w:spacing w:val="-5"/>
          <w:w w:val="105"/>
        </w:rPr>
        <w:t> </w:t>
      </w:r>
      <w:r>
        <w:rPr>
          <w:w w:val="105"/>
        </w:rPr>
        <w:t>crediti</w:t>
      </w:r>
      <w:r>
        <w:rPr>
          <w:spacing w:val="-5"/>
          <w:w w:val="105"/>
        </w:rPr>
        <w:t> </w:t>
      </w:r>
      <w:r>
        <w:rPr>
          <w:w w:val="105"/>
        </w:rPr>
        <w:t>concordatari</w:t>
      </w:r>
      <w:r>
        <w:rPr>
          <w:spacing w:val="-8"/>
          <w:w w:val="105"/>
        </w:rPr>
        <w:t> </w:t>
      </w:r>
      <w:r>
        <w:rPr>
          <w:w w:val="105"/>
        </w:rPr>
        <w:t>deve</w:t>
      </w:r>
      <w:r>
        <w:rPr>
          <w:spacing w:val="-5"/>
          <w:w w:val="105"/>
        </w:rPr>
        <w:t> </w:t>
      </w:r>
      <w:r>
        <w:rPr>
          <w:w w:val="105"/>
        </w:rPr>
        <w:t>indicarsi nella data di deposito del Ricorso per l’ammissione alla procedura di concordato preventivo ai sensi dell’art. 161, comma 6, legge fall. (</w:t>
      </w:r>
      <w:r>
        <w:rPr>
          <w:i/>
          <w:w w:val="105"/>
        </w:rPr>
        <w:t>i.e. </w:t>
      </w:r>
      <w:r>
        <w:rPr>
          <w:w w:val="105"/>
        </w:rPr>
        <w:t>15 ottobre</w:t>
      </w:r>
      <w:r>
        <w:rPr>
          <w:spacing w:val="-20"/>
          <w:w w:val="105"/>
        </w:rPr>
        <w:t> </w:t>
      </w:r>
      <w:r>
        <w:rPr>
          <w:w w:val="105"/>
        </w:rPr>
        <w:t>2017)</w:t>
      </w:r>
      <w:r>
        <w:rPr>
          <w:spacing w:val="-20"/>
          <w:w w:val="105"/>
        </w:rPr>
        <w:t> </w:t>
      </w:r>
      <w:r>
        <w:rPr>
          <w:w w:val="105"/>
        </w:rPr>
        <w:t>(la</w:t>
      </w:r>
      <w:r>
        <w:rPr>
          <w:spacing w:val="-21"/>
          <w:w w:val="105"/>
        </w:rPr>
        <w:t> </w:t>
      </w:r>
      <w:r>
        <w:rPr>
          <w:w w:val="105"/>
        </w:rPr>
        <w:t>“</w:t>
      </w:r>
      <w:r>
        <w:rPr>
          <w:b/>
          <w:w w:val="105"/>
        </w:rPr>
        <w:t>Data</w:t>
      </w:r>
      <w:r>
        <w:rPr>
          <w:b/>
          <w:spacing w:val="-20"/>
          <w:w w:val="105"/>
        </w:rPr>
        <w:t> </w:t>
      </w:r>
      <w:r>
        <w:rPr>
          <w:b/>
          <w:w w:val="105"/>
        </w:rPr>
        <w:t>di</w:t>
      </w:r>
      <w:r>
        <w:rPr>
          <w:b/>
          <w:spacing w:val="-21"/>
          <w:w w:val="105"/>
        </w:rPr>
        <w:t> </w:t>
      </w:r>
      <w:r>
        <w:rPr>
          <w:b/>
          <w:w w:val="105"/>
        </w:rPr>
        <w:t>Riferimento</w:t>
      </w:r>
      <w:r>
        <w:rPr>
          <w:w w:val="105"/>
        </w:rPr>
        <w:t>”).</w:t>
      </w:r>
    </w:p>
    <w:p>
      <w:pPr>
        <w:pStyle w:val="BodyText"/>
        <w:spacing w:line="491" w:lineRule="auto" w:before="2"/>
        <w:ind w:left="400" w:right="2196"/>
        <w:jc w:val="both"/>
      </w:pPr>
      <w:r>
        <w:rPr>
          <w:w w:val="105"/>
        </w:rPr>
        <w:t>Al fine di prevenire nuove ed eventuali passività privilegiate e chirografarie, la Società ha stanziato appositi fondi rischi e oneri (le “</w:t>
      </w:r>
      <w:r>
        <w:rPr>
          <w:b/>
          <w:w w:val="105"/>
        </w:rPr>
        <w:t>Riserve</w:t>
      </w:r>
      <w:r>
        <w:rPr>
          <w:w w:val="105"/>
        </w:rPr>
        <w:t>” o i “</w:t>
      </w:r>
      <w:r>
        <w:rPr>
          <w:b/>
          <w:w w:val="105"/>
        </w:rPr>
        <w:t>Fondi</w:t>
      </w:r>
      <w:r>
        <w:rPr>
          <w:w w:val="105"/>
        </w:rPr>
        <w:t>”), che ove non utilizzati, potranno essere liberati in favore dei </w:t>
      </w:r>
      <w:r>
        <w:rPr/>
        <w:t>creditori chirografari.</w:t>
      </w:r>
    </w:p>
    <w:p>
      <w:pPr>
        <w:pStyle w:val="BodyText"/>
        <w:spacing w:line="491" w:lineRule="auto"/>
        <w:ind w:left="400" w:right="2194"/>
        <w:jc w:val="both"/>
      </w:pPr>
      <w:r>
        <w:rPr>
          <w:w w:val="105"/>
        </w:rPr>
        <w:t>Si rinvia la Piano (cfr. par. 10, “</w:t>
      </w:r>
      <w:r>
        <w:rPr>
          <w:i/>
          <w:w w:val="105"/>
        </w:rPr>
        <w:t>I Fondi Rischi</w:t>
      </w:r>
      <w:r>
        <w:rPr>
          <w:w w:val="105"/>
        </w:rPr>
        <w:t>”), per un maggior dettaglio di tali Fondi, suddivisi per importi e natura (prededucibile; privilegiata e chirografaria) dei sottostanti crediti.</w:t>
      </w:r>
    </w:p>
    <w:p>
      <w:pPr>
        <w:spacing w:after="0" w:line="491" w:lineRule="auto"/>
        <w:jc w:val="both"/>
        <w:sectPr>
          <w:pgSz w:w="12240" w:h="15840"/>
          <w:pgMar w:header="0" w:footer="790" w:top="1500" w:bottom="980" w:left="1720" w:right="1200"/>
        </w:sectPr>
      </w:pPr>
    </w:p>
    <w:p>
      <w:pPr>
        <w:pStyle w:val="Heading2"/>
        <w:spacing w:before="105"/>
        <w:ind w:right="2273"/>
      </w:pPr>
      <w:bookmarkStart w:name="_TOC_250030" w:id="22"/>
      <w:bookmarkEnd w:id="22"/>
      <w:r>
        <w:rPr>
          <w:w w:val="105"/>
        </w:rPr>
        <w:t>CAPITOLO 7</w:t>
      </w:r>
    </w:p>
    <w:p>
      <w:pPr>
        <w:pStyle w:val="BodyText"/>
        <w:rPr>
          <w:b/>
          <w:sz w:val="23"/>
        </w:rPr>
      </w:pPr>
    </w:p>
    <w:p>
      <w:pPr>
        <w:pStyle w:val="Heading2"/>
        <w:spacing w:line="491" w:lineRule="auto"/>
        <w:ind w:left="434" w:right="2228" w:hanging="4"/>
      </w:pPr>
      <w:bookmarkStart w:name="_TOC_250029" w:id="23"/>
      <w:r>
        <w:rPr>
          <w:w w:val="105"/>
        </w:rPr>
        <w:t>Elenco</w:t>
      </w:r>
      <w:r>
        <w:rPr>
          <w:spacing w:val="-13"/>
          <w:w w:val="105"/>
        </w:rPr>
        <w:t> </w:t>
      </w:r>
      <w:r>
        <w:rPr>
          <w:w w:val="105"/>
        </w:rPr>
        <w:t>nominativo</w:t>
      </w:r>
      <w:r>
        <w:rPr>
          <w:spacing w:val="-14"/>
          <w:w w:val="105"/>
        </w:rPr>
        <w:t> </w:t>
      </w:r>
      <w:r>
        <w:rPr>
          <w:w w:val="105"/>
        </w:rPr>
        <w:t>dei</w:t>
      </w:r>
      <w:r>
        <w:rPr>
          <w:spacing w:val="-14"/>
          <w:w w:val="105"/>
        </w:rPr>
        <w:t> </w:t>
      </w:r>
      <w:r>
        <w:rPr>
          <w:w w:val="105"/>
        </w:rPr>
        <w:t>creditori</w:t>
      </w:r>
      <w:r>
        <w:rPr>
          <w:spacing w:val="-14"/>
          <w:w w:val="105"/>
        </w:rPr>
        <w:t> </w:t>
      </w:r>
      <w:r>
        <w:rPr>
          <w:w w:val="105"/>
        </w:rPr>
        <w:t>e</w:t>
      </w:r>
      <w:r>
        <w:rPr>
          <w:spacing w:val="-14"/>
          <w:w w:val="105"/>
        </w:rPr>
        <w:t> </w:t>
      </w:r>
      <w:r>
        <w:rPr>
          <w:w w:val="105"/>
        </w:rPr>
        <w:t>dei</w:t>
      </w:r>
      <w:r>
        <w:rPr>
          <w:spacing w:val="-14"/>
          <w:w w:val="105"/>
        </w:rPr>
        <w:t> </w:t>
      </w:r>
      <w:r>
        <w:rPr>
          <w:w w:val="105"/>
        </w:rPr>
        <w:t>crediti,</w:t>
      </w:r>
      <w:r>
        <w:rPr>
          <w:spacing w:val="-14"/>
          <w:w w:val="105"/>
        </w:rPr>
        <w:t> </w:t>
      </w:r>
      <w:r>
        <w:rPr>
          <w:w w:val="105"/>
        </w:rPr>
        <w:t>delle</w:t>
      </w:r>
      <w:r>
        <w:rPr>
          <w:spacing w:val="-14"/>
          <w:w w:val="105"/>
        </w:rPr>
        <w:t> </w:t>
      </w:r>
      <w:r>
        <w:rPr>
          <w:w w:val="105"/>
        </w:rPr>
        <w:t>relative</w:t>
      </w:r>
      <w:r>
        <w:rPr>
          <w:spacing w:val="-14"/>
          <w:w w:val="105"/>
        </w:rPr>
        <w:t> </w:t>
      </w:r>
      <w:r>
        <w:rPr>
          <w:w w:val="105"/>
        </w:rPr>
        <w:t>cause</w:t>
      </w:r>
      <w:r>
        <w:rPr>
          <w:spacing w:val="-14"/>
          <w:w w:val="105"/>
        </w:rPr>
        <w:t> </w:t>
      </w:r>
      <w:r>
        <w:rPr>
          <w:w w:val="105"/>
        </w:rPr>
        <w:t>di prelazione</w:t>
      </w:r>
      <w:r>
        <w:rPr>
          <w:spacing w:val="-14"/>
          <w:w w:val="105"/>
        </w:rPr>
        <w:t> </w:t>
      </w:r>
      <w:r>
        <w:rPr>
          <w:w w:val="105"/>
        </w:rPr>
        <w:t>e</w:t>
      </w:r>
      <w:r>
        <w:rPr>
          <w:spacing w:val="-14"/>
          <w:w w:val="105"/>
        </w:rPr>
        <w:t> </w:t>
      </w:r>
      <w:r>
        <w:rPr>
          <w:w w:val="105"/>
        </w:rPr>
        <w:t>dei</w:t>
      </w:r>
      <w:r>
        <w:rPr>
          <w:spacing w:val="-15"/>
          <w:w w:val="105"/>
        </w:rPr>
        <w:t> </w:t>
      </w:r>
      <w:r>
        <w:rPr>
          <w:w w:val="105"/>
        </w:rPr>
        <w:t>titolari</w:t>
      </w:r>
      <w:r>
        <w:rPr>
          <w:spacing w:val="-15"/>
          <w:w w:val="105"/>
        </w:rPr>
        <w:t> </w:t>
      </w:r>
      <w:r>
        <w:rPr>
          <w:w w:val="105"/>
        </w:rPr>
        <w:t>dei</w:t>
      </w:r>
      <w:r>
        <w:rPr>
          <w:spacing w:val="-14"/>
          <w:w w:val="105"/>
        </w:rPr>
        <w:t> </w:t>
      </w:r>
      <w:r>
        <w:rPr>
          <w:w w:val="105"/>
        </w:rPr>
        <w:t>diritti</w:t>
      </w:r>
      <w:r>
        <w:rPr>
          <w:spacing w:val="-14"/>
          <w:w w:val="105"/>
        </w:rPr>
        <w:t> </w:t>
      </w:r>
      <w:r>
        <w:rPr>
          <w:w w:val="105"/>
        </w:rPr>
        <w:t>reali</w:t>
      </w:r>
      <w:r>
        <w:rPr>
          <w:spacing w:val="-14"/>
          <w:w w:val="105"/>
        </w:rPr>
        <w:t> </w:t>
      </w:r>
      <w:r>
        <w:rPr>
          <w:w w:val="105"/>
        </w:rPr>
        <w:t>o</w:t>
      </w:r>
      <w:r>
        <w:rPr>
          <w:spacing w:val="-15"/>
          <w:w w:val="105"/>
        </w:rPr>
        <w:t> </w:t>
      </w:r>
      <w:r>
        <w:rPr>
          <w:w w:val="105"/>
        </w:rPr>
        <w:t>personali</w:t>
      </w:r>
      <w:r>
        <w:rPr>
          <w:spacing w:val="-14"/>
          <w:w w:val="105"/>
        </w:rPr>
        <w:t> </w:t>
      </w:r>
      <w:r>
        <w:rPr>
          <w:w w:val="105"/>
        </w:rPr>
        <w:t>ai</w:t>
      </w:r>
      <w:r>
        <w:rPr>
          <w:spacing w:val="-14"/>
          <w:w w:val="105"/>
        </w:rPr>
        <w:t> </w:t>
      </w:r>
      <w:r>
        <w:rPr>
          <w:w w:val="105"/>
        </w:rPr>
        <w:t>sensi</w:t>
      </w:r>
      <w:r>
        <w:rPr>
          <w:spacing w:val="-15"/>
          <w:w w:val="105"/>
        </w:rPr>
        <w:t> </w:t>
      </w:r>
      <w:r>
        <w:rPr>
          <w:w w:val="105"/>
        </w:rPr>
        <w:t>dell’art.</w:t>
      </w:r>
      <w:r>
        <w:rPr>
          <w:spacing w:val="-14"/>
          <w:w w:val="105"/>
        </w:rPr>
        <w:t> </w:t>
      </w:r>
      <w:r>
        <w:rPr>
          <w:w w:val="105"/>
        </w:rPr>
        <w:t>161, comma</w:t>
      </w:r>
      <w:r>
        <w:rPr>
          <w:spacing w:val="-14"/>
          <w:w w:val="105"/>
        </w:rPr>
        <w:t> </w:t>
      </w:r>
      <w:r>
        <w:rPr>
          <w:w w:val="105"/>
        </w:rPr>
        <w:t>2,</w:t>
      </w:r>
      <w:r>
        <w:rPr>
          <w:spacing w:val="-14"/>
          <w:w w:val="105"/>
        </w:rPr>
        <w:t> </w:t>
      </w:r>
      <w:r>
        <w:rPr>
          <w:w w:val="105"/>
        </w:rPr>
        <w:t>lettere</w:t>
      </w:r>
      <w:r>
        <w:rPr>
          <w:spacing w:val="-13"/>
          <w:w w:val="105"/>
        </w:rPr>
        <w:t> </w:t>
      </w:r>
      <w:r>
        <w:rPr>
          <w:w w:val="105"/>
        </w:rPr>
        <w:t>b)</w:t>
      </w:r>
      <w:r>
        <w:rPr>
          <w:spacing w:val="-14"/>
          <w:w w:val="105"/>
        </w:rPr>
        <w:t> </w:t>
      </w:r>
      <w:r>
        <w:rPr>
          <w:w w:val="105"/>
        </w:rPr>
        <w:t>e</w:t>
      </w:r>
      <w:r>
        <w:rPr>
          <w:spacing w:val="-14"/>
          <w:w w:val="105"/>
        </w:rPr>
        <w:t> </w:t>
      </w:r>
      <w:r>
        <w:rPr>
          <w:w w:val="105"/>
        </w:rPr>
        <w:t>c),</w:t>
      </w:r>
      <w:r>
        <w:rPr>
          <w:spacing w:val="-15"/>
          <w:w w:val="105"/>
        </w:rPr>
        <w:t> </w:t>
      </w:r>
      <w:r>
        <w:rPr>
          <w:w w:val="105"/>
        </w:rPr>
        <w:t>legge</w:t>
      </w:r>
      <w:r>
        <w:rPr>
          <w:spacing w:val="-13"/>
          <w:w w:val="105"/>
        </w:rPr>
        <w:t> </w:t>
      </w:r>
      <w:bookmarkEnd w:id="23"/>
      <w:r>
        <w:rPr>
          <w:w w:val="105"/>
        </w:rPr>
        <w:t>fall.</w:t>
      </w:r>
    </w:p>
    <w:p>
      <w:pPr>
        <w:pStyle w:val="BodyText"/>
        <w:spacing w:line="491" w:lineRule="auto"/>
        <w:ind w:left="400" w:right="2197"/>
        <w:jc w:val="both"/>
      </w:pPr>
      <w:r>
        <w:rPr>
          <w:w w:val="105"/>
        </w:rPr>
        <w:t>Si produce unitamente al Piano di Concordato l’elenco nominativo dei creditori</w:t>
      </w:r>
      <w:r>
        <w:rPr>
          <w:spacing w:val="-9"/>
          <w:w w:val="105"/>
        </w:rPr>
        <w:t> </w:t>
      </w:r>
      <w:r>
        <w:rPr>
          <w:w w:val="105"/>
        </w:rPr>
        <w:t>e</w:t>
      </w:r>
      <w:r>
        <w:rPr>
          <w:spacing w:val="-9"/>
          <w:w w:val="105"/>
        </w:rPr>
        <w:t> </w:t>
      </w:r>
      <w:r>
        <w:rPr>
          <w:w w:val="105"/>
        </w:rPr>
        <w:t>dei</w:t>
      </w:r>
      <w:r>
        <w:rPr>
          <w:spacing w:val="-9"/>
          <w:w w:val="105"/>
        </w:rPr>
        <w:t> </w:t>
      </w:r>
      <w:r>
        <w:rPr>
          <w:w w:val="105"/>
        </w:rPr>
        <w:t>crediti,</w:t>
      </w:r>
      <w:r>
        <w:rPr>
          <w:spacing w:val="-9"/>
          <w:w w:val="105"/>
        </w:rPr>
        <w:t> </w:t>
      </w:r>
      <w:r>
        <w:rPr>
          <w:w w:val="105"/>
        </w:rPr>
        <w:t>delle</w:t>
      </w:r>
      <w:r>
        <w:rPr>
          <w:spacing w:val="-10"/>
          <w:w w:val="105"/>
        </w:rPr>
        <w:t> </w:t>
      </w:r>
      <w:r>
        <w:rPr>
          <w:w w:val="105"/>
        </w:rPr>
        <w:t>relative</w:t>
      </w:r>
      <w:r>
        <w:rPr>
          <w:spacing w:val="-9"/>
          <w:w w:val="105"/>
        </w:rPr>
        <w:t> </w:t>
      </w:r>
      <w:r>
        <w:rPr>
          <w:w w:val="105"/>
        </w:rPr>
        <w:t>cause</w:t>
      </w:r>
      <w:r>
        <w:rPr>
          <w:spacing w:val="-9"/>
          <w:w w:val="105"/>
        </w:rPr>
        <w:t> </w:t>
      </w:r>
      <w:r>
        <w:rPr>
          <w:w w:val="105"/>
        </w:rPr>
        <w:t>di</w:t>
      </w:r>
      <w:r>
        <w:rPr>
          <w:spacing w:val="-9"/>
          <w:w w:val="105"/>
        </w:rPr>
        <w:t> </w:t>
      </w:r>
      <w:r>
        <w:rPr>
          <w:w w:val="105"/>
        </w:rPr>
        <w:t>prelazione</w:t>
      </w:r>
      <w:r>
        <w:rPr>
          <w:spacing w:val="-9"/>
          <w:w w:val="105"/>
        </w:rPr>
        <w:t> </w:t>
      </w:r>
      <w:r>
        <w:rPr>
          <w:w w:val="105"/>
        </w:rPr>
        <w:t>e</w:t>
      </w:r>
      <w:r>
        <w:rPr>
          <w:spacing w:val="-9"/>
          <w:w w:val="105"/>
        </w:rPr>
        <w:t> </w:t>
      </w:r>
      <w:r>
        <w:rPr>
          <w:w w:val="105"/>
        </w:rPr>
        <w:t>dei</w:t>
      </w:r>
      <w:r>
        <w:rPr>
          <w:spacing w:val="-9"/>
          <w:w w:val="105"/>
        </w:rPr>
        <w:t> </w:t>
      </w:r>
      <w:r>
        <w:rPr>
          <w:w w:val="105"/>
        </w:rPr>
        <w:t>titolari</w:t>
      </w:r>
      <w:r>
        <w:rPr>
          <w:spacing w:val="-10"/>
          <w:w w:val="105"/>
        </w:rPr>
        <w:t> </w:t>
      </w:r>
      <w:r>
        <w:rPr>
          <w:w w:val="105"/>
        </w:rPr>
        <w:t>dei</w:t>
      </w:r>
      <w:r>
        <w:rPr>
          <w:spacing w:val="-9"/>
          <w:w w:val="105"/>
        </w:rPr>
        <w:t> </w:t>
      </w:r>
      <w:r>
        <w:rPr>
          <w:w w:val="105"/>
        </w:rPr>
        <w:t>diritti reali</w:t>
      </w:r>
      <w:r>
        <w:rPr>
          <w:spacing w:val="-13"/>
          <w:w w:val="105"/>
        </w:rPr>
        <w:t> </w:t>
      </w:r>
      <w:r>
        <w:rPr>
          <w:w w:val="105"/>
        </w:rPr>
        <w:t>o</w:t>
      </w:r>
      <w:r>
        <w:rPr>
          <w:spacing w:val="-14"/>
          <w:w w:val="105"/>
        </w:rPr>
        <w:t> </w:t>
      </w:r>
      <w:r>
        <w:rPr>
          <w:w w:val="105"/>
        </w:rPr>
        <w:t>personali</w:t>
      </w:r>
      <w:r>
        <w:rPr>
          <w:spacing w:val="-13"/>
          <w:w w:val="105"/>
        </w:rPr>
        <w:t> </w:t>
      </w:r>
      <w:r>
        <w:rPr>
          <w:w w:val="105"/>
        </w:rPr>
        <w:t>alla</w:t>
      </w:r>
      <w:r>
        <w:rPr>
          <w:spacing w:val="-13"/>
          <w:w w:val="105"/>
        </w:rPr>
        <w:t> </w:t>
      </w:r>
      <w:r>
        <w:rPr>
          <w:w w:val="105"/>
        </w:rPr>
        <w:t>Data</w:t>
      </w:r>
      <w:r>
        <w:rPr>
          <w:spacing w:val="-13"/>
          <w:w w:val="105"/>
        </w:rPr>
        <w:t> </w:t>
      </w:r>
      <w:r>
        <w:rPr>
          <w:w w:val="105"/>
        </w:rPr>
        <w:t>di</w:t>
      </w:r>
      <w:r>
        <w:rPr>
          <w:spacing w:val="-13"/>
          <w:w w:val="105"/>
        </w:rPr>
        <w:t> </w:t>
      </w:r>
      <w:r>
        <w:rPr>
          <w:w w:val="105"/>
        </w:rPr>
        <w:t>Riferimento,</w:t>
      </w:r>
      <w:r>
        <w:rPr>
          <w:spacing w:val="-13"/>
          <w:w w:val="105"/>
        </w:rPr>
        <w:t> </w:t>
      </w:r>
      <w:r>
        <w:rPr>
          <w:w w:val="105"/>
        </w:rPr>
        <w:t>qui</w:t>
      </w:r>
      <w:r>
        <w:rPr>
          <w:spacing w:val="-15"/>
          <w:w w:val="105"/>
        </w:rPr>
        <w:t> </w:t>
      </w:r>
      <w:r>
        <w:rPr>
          <w:w w:val="105"/>
        </w:rPr>
        <w:t>da</w:t>
      </w:r>
      <w:r>
        <w:rPr>
          <w:spacing w:val="-14"/>
          <w:w w:val="105"/>
        </w:rPr>
        <w:t> </w:t>
      </w:r>
      <w:r>
        <w:rPr>
          <w:w w:val="105"/>
        </w:rPr>
        <w:t>intendersi</w:t>
      </w:r>
      <w:r>
        <w:rPr>
          <w:spacing w:val="-15"/>
          <w:w w:val="105"/>
        </w:rPr>
        <w:t> </w:t>
      </w:r>
      <w:r>
        <w:rPr>
          <w:w w:val="105"/>
        </w:rPr>
        <w:t>per</w:t>
      </w:r>
      <w:r>
        <w:rPr>
          <w:spacing w:val="-13"/>
          <w:w w:val="105"/>
        </w:rPr>
        <w:t> </w:t>
      </w:r>
      <w:r>
        <w:rPr>
          <w:w w:val="105"/>
        </w:rPr>
        <w:t>integralmente</w:t>
      </w:r>
    </w:p>
    <w:p>
      <w:pPr>
        <w:pStyle w:val="BodyText"/>
        <w:spacing w:before="2"/>
        <w:ind w:left="400"/>
      </w:pPr>
      <w:r>
        <w:rPr>
          <w:w w:val="105"/>
        </w:rPr>
        <w:t>ritrascritto (cfr doc. 66).</w:t>
      </w:r>
    </w:p>
    <w:p>
      <w:pPr>
        <w:pStyle w:val="BodyText"/>
        <w:spacing w:before="1"/>
        <w:rPr>
          <w:sz w:val="23"/>
        </w:rPr>
      </w:pPr>
    </w:p>
    <w:p>
      <w:pPr>
        <w:pStyle w:val="BodyText"/>
        <w:ind w:left="476" w:right="2272"/>
        <w:jc w:val="center"/>
      </w:pPr>
      <w:r>
        <w:rPr>
          <w:w w:val="105"/>
        </w:rPr>
        <w:t>* * *</w:t>
      </w:r>
    </w:p>
    <w:p>
      <w:pPr>
        <w:spacing w:after="0"/>
        <w:jc w:val="center"/>
        <w:sectPr>
          <w:pgSz w:w="12240" w:h="15840"/>
          <w:pgMar w:header="0" w:footer="790" w:top="1500" w:bottom="980" w:left="1720" w:right="1200"/>
        </w:sectPr>
      </w:pPr>
    </w:p>
    <w:p>
      <w:pPr>
        <w:pStyle w:val="BodyText"/>
        <w:rPr>
          <w:sz w:val="20"/>
        </w:rPr>
      </w:pPr>
    </w:p>
    <w:p>
      <w:pPr>
        <w:pStyle w:val="BodyText"/>
        <w:spacing w:before="1"/>
        <w:rPr>
          <w:sz w:val="25"/>
        </w:rPr>
      </w:pPr>
    </w:p>
    <w:p>
      <w:pPr>
        <w:pStyle w:val="Heading2"/>
        <w:spacing w:before="106"/>
        <w:ind w:left="3085"/>
        <w:jc w:val="left"/>
      </w:pPr>
      <w:bookmarkStart w:name="_TOC_250028" w:id="24"/>
      <w:bookmarkEnd w:id="24"/>
      <w:r>
        <w:rPr>
          <w:w w:val="105"/>
        </w:rPr>
        <w:t>CAPITOLO 8</w:t>
      </w:r>
    </w:p>
    <w:p>
      <w:pPr>
        <w:pStyle w:val="BodyText"/>
        <w:spacing w:before="10"/>
        <w:rPr>
          <w:b/>
          <w:sz w:val="13"/>
        </w:rPr>
      </w:pPr>
    </w:p>
    <w:p>
      <w:pPr>
        <w:pStyle w:val="Heading2"/>
        <w:spacing w:before="105"/>
        <w:ind w:left="2644"/>
        <w:jc w:val="left"/>
      </w:pPr>
      <w:bookmarkStart w:name="_TOC_250027" w:id="25"/>
      <w:bookmarkEnd w:id="25"/>
      <w:r>
        <w:rPr>
          <w:w w:val="105"/>
        </w:rPr>
        <w:t>La Proposta ed il Piano</w:t>
      </w:r>
    </w:p>
    <w:p>
      <w:pPr>
        <w:pStyle w:val="BodyText"/>
        <w:spacing w:before="1"/>
        <w:rPr>
          <w:b/>
          <w:sz w:val="23"/>
        </w:rPr>
      </w:pPr>
    </w:p>
    <w:p>
      <w:pPr>
        <w:pStyle w:val="Heading2"/>
        <w:numPr>
          <w:ilvl w:val="1"/>
          <w:numId w:val="18"/>
        </w:numPr>
        <w:tabs>
          <w:tab w:pos="1065" w:val="left" w:leader="none"/>
          <w:tab w:pos="1066" w:val="left" w:leader="none"/>
        </w:tabs>
        <w:spacing w:line="240" w:lineRule="auto" w:before="0" w:after="0"/>
        <w:ind w:left="400" w:right="0" w:firstLine="0"/>
        <w:jc w:val="left"/>
      </w:pPr>
      <w:bookmarkStart w:name="_TOC_250026" w:id="26"/>
      <w:bookmarkEnd w:id="26"/>
      <w:r>
        <w:rPr>
          <w:w w:val="105"/>
        </w:rPr>
        <w:t>Premessa</w:t>
      </w:r>
    </w:p>
    <w:p>
      <w:pPr>
        <w:pStyle w:val="BodyText"/>
        <w:spacing w:before="8"/>
        <w:rPr>
          <w:b/>
          <w:sz w:val="13"/>
        </w:rPr>
      </w:pPr>
    </w:p>
    <w:p>
      <w:pPr>
        <w:pStyle w:val="BodyText"/>
        <w:spacing w:line="491" w:lineRule="auto" w:before="105"/>
        <w:ind w:left="400" w:right="2196"/>
        <w:jc w:val="both"/>
      </w:pPr>
      <w:r>
        <w:rPr>
          <w:w w:val="105"/>
        </w:rPr>
        <w:t>Per una maggiore comprensione, la Proposta, come illustrata al successivo paragrafo 8.3 e sottoposta ai creditori, è corredata da, e si fonda su, sostanzialmente i seguenti elementi:</w:t>
      </w:r>
    </w:p>
    <w:p>
      <w:pPr>
        <w:pStyle w:val="ListParagraph"/>
        <w:numPr>
          <w:ilvl w:val="2"/>
          <w:numId w:val="18"/>
        </w:numPr>
        <w:tabs>
          <w:tab w:pos="1078" w:val="left" w:leader="none"/>
          <w:tab w:pos="1079" w:val="left" w:leader="none"/>
        </w:tabs>
        <w:spacing w:line="240" w:lineRule="auto" w:before="0" w:after="0"/>
        <w:ind w:left="1078" w:right="0" w:hanging="340"/>
        <w:jc w:val="left"/>
        <w:rPr>
          <w:sz w:val="22"/>
        </w:rPr>
      </w:pPr>
      <w:r>
        <w:rPr>
          <w:w w:val="105"/>
          <w:sz w:val="22"/>
        </w:rPr>
        <w:t>la</w:t>
      </w:r>
      <w:r>
        <w:rPr>
          <w:spacing w:val="-19"/>
          <w:w w:val="105"/>
          <w:sz w:val="22"/>
        </w:rPr>
        <w:t> </w:t>
      </w:r>
      <w:r>
        <w:rPr>
          <w:w w:val="105"/>
          <w:sz w:val="22"/>
        </w:rPr>
        <w:t>cessione</w:t>
      </w:r>
      <w:r>
        <w:rPr>
          <w:spacing w:val="-19"/>
          <w:w w:val="105"/>
          <w:sz w:val="22"/>
        </w:rPr>
        <w:t> </w:t>
      </w:r>
      <w:r>
        <w:rPr>
          <w:w w:val="105"/>
          <w:sz w:val="22"/>
        </w:rPr>
        <w:t>del</w:t>
      </w:r>
      <w:r>
        <w:rPr>
          <w:spacing w:val="-19"/>
          <w:w w:val="105"/>
          <w:sz w:val="22"/>
        </w:rPr>
        <w:t> </w:t>
      </w:r>
      <w:r>
        <w:rPr>
          <w:w w:val="105"/>
          <w:sz w:val="22"/>
        </w:rPr>
        <w:t>Ramo</w:t>
      </w:r>
      <w:r>
        <w:rPr>
          <w:spacing w:val="-19"/>
          <w:w w:val="105"/>
          <w:sz w:val="22"/>
        </w:rPr>
        <w:t> </w:t>
      </w:r>
      <w:r>
        <w:rPr>
          <w:w w:val="105"/>
          <w:sz w:val="22"/>
        </w:rPr>
        <w:t>Biochemtex;</w:t>
      </w:r>
    </w:p>
    <w:p>
      <w:pPr>
        <w:pStyle w:val="BodyText"/>
        <w:spacing w:before="1"/>
        <w:rPr>
          <w:sz w:val="23"/>
        </w:rPr>
      </w:pPr>
    </w:p>
    <w:p>
      <w:pPr>
        <w:pStyle w:val="ListParagraph"/>
        <w:numPr>
          <w:ilvl w:val="2"/>
          <w:numId w:val="18"/>
        </w:numPr>
        <w:tabs>
          <w:tab w:pos="1078" w:val="left" w:leader="none"/>
          <w:tab w:pos="1079" w:val="left" w:leader="none"/>
        </w:tabs>
        <w:spacing w:line="240" w:lineRule="auto" w:before="0" w:after="0"/>
        <w:ind w:left="1078" w:right="0" w:hanging="340"/>
        <w:jc w:val="left"/>
        <w:rPr>
          <w:sz w:val="22"/>
        </w:rPr>
      </w:pPr>
      <w:r>
        <w:rPr>
          <w:w w:val="105"/>
          <w:sz w:val="22"/>
        </w:rPr>
        <w:t>l’Incasso</w:t>
      </w:r>
      <w:r>
        <w:rPr>
          <w:spacing w:val="-17"/>
          <w:w w:val="105"/>
          <w:sz w:val="22"/>
        </w:rPr>
        <w:t> </w:t>
      </w:r>
      <w:r>
        <w:rPr>
          <w:w w:val="105"/>
          <w:sz w:val="22"/>
        </w:rPr>
        <w:t>dei</w:t>
      </w:r>
      <w:r>
        <w:rPr>
          <w:spacing w:val="-17"/>
          <w:w w:val="105"/>
          <w:sz w:val="22"/>
        </w:rPr>
        <w:t> </w:t>
      </w:r>
      <w:r>
        <w:rPr>
          <w:w w:val="105"/>
          <w:sz w:val="22"/>
        </w:rPr>
        <w:t>Crediti</w:t>
      </w:r>
      <w:r>
        <w:rPr>
          <w:spacing w:val="-17"/>
          <w:w w:val="105"/>
          <w:sz w:val="22"/>
        </w:rPr>
        <w:t> </w:t>
      </w:r>
      <w:r>
        <w:rPr>
          <w:w w:val="105"/>
          <w:sz w:val="22"/>
        </w:rPr>
        <w:t>e</w:t>
      </w:r>
      <w:r>
        <w:rPr>
          <w:spacing w:val="-17"/>
          <w:w w:val="105"/>
          <w:sz w:val="22"/>
        </w:rPr>
        <w:t> </w:t>
      </w:r>
      <w:r>
        <w:rPr>
          <w:w w:val="105"/>
          <w:sz w:val="22"/>
        </w:rPr>
        <w:t>il</w:t>
      </w:r>
      <w:r>
        <w:rPr>
          <w:spacing w:val="-16"/>
          <w:w w:val="105"/>
          <w:sz w:val="22"/>
        </w:rPr>
        <w:t> </w:t>
      </w:r>
      <w:r>
        <w:rPr>
          <w:w w:val="105"/>
          <w:sz w:val="22"/>
        </w:rPr>
        <w:t>realizzo</w:t>
      </w:r>
      <w:r>
        <w:rPr>
          <w:spacing w:val="-17"/>
          <w:w w:val="105"/>
          <w:sz w:val="22"/>
        </w:rPr>
        <w:t> </w:t>
      </w:r>
      <w:r>
        <w:rPr>
          <w:w w:val="105"/>
          <w:sz w:val="22"/>
        </w:rPr>
        <w:t>degli</w:t>
      </w:r>
      <w:r>
        <w:rPr>
          <w:spacing w:val="-17"/>
          <w:w w:val="105"/>
          <w:sz w:val="22"/>
        </w:rPr>
        <w:t> </w:t>
      </w:r>
      <w:r>
        <w:rPr>
          <w:w w:val="105"/>
          <w:sz w:val="22"/>
        </w:rPr>
        <w:t>Altri</w:t>
      </w:r>
      <w:r>
        <w:rPr>
          <w:spacing w:val="-17"/>
          <w:w w:val="105"/>
          <w:sz w:val="22"/>
        </w:rPr>
        <w:t> </w:t>
      </w:r>
      <w:r>
        <w:rPr>
          <w:w w:val="105"/>
          <w:sz w:val="22"/>
        </w:rPr>
        <w:t>Attivi;</w:t>
      </w:r>
    </w:p>
    <w:p>
      <w:pPr>
        <w:pStyle w:val="BodyText"/>
        <w:spacing w:before="1"/>
        <w:rPr>
          <w:sz w:val="23"/>
        </w:rPr>
      </w:pPr>
    </w:p>
    <w:p>
      <w:pPr>
        <w:pStyle w:val="ListParagraph"/>
        <w:numPr>
          <w:ilvl w:val="2"/>
          <w:numId w:val="18"/>
        </w:numPr>
        <w:tabs>
          <w:tab w:pos="1078" w:val="left" w:leader="none"/>
          <w:tab w:pos="1079" w:val="left" w:leader="none"/>
        </w:tabs>
        <w:spacing w:line="240" w:lineRule="auto" w:before="0" w:after="0"/>
        <w:ind w:left="1078" w:right="0" w:hanging="340"/>
        <w:jc w:val="left"/>
        <w:rPr>
          <w:sz w:val="22"/>
        </w:rPr>
      </w:pPr>
      <w:r>
        <w:rPr>
          <w:w w:val="105"/>
          <w:sz w:val="22"/>
        </w:rPr>
        <w:t>il Business</w:t>
      </w:r>
      <w:r>
        <w:rPr>
          <w:spacing w:val="-36"/>
          <w:w w:val="105"/>
          <w:sz w:val="22"/>
        </w:rPr>
        <w:t> </w:t>
      </w:r>
      <w:r>
        <w:rPr>
          <w:w w:val="105"/>
          <w:sz w:val="22"/>
        </w:rPr>
        <w:t>Plan;</w:t>
      </w:r>
    </w:p>
    <w:p>
      <w:pPr>
        <w:pStyle w:val="BodyText"/>
        <w:rPr>
          <w:sz w:val="23"/>
        </w:rPr>
      </w:pPr>
    </w:p>
    <w:p>
      <w:pPr>
        <w:pStyle w:val="ListParagraph"/>
        <w:numPr>
          <w:ilvl w:val="2"/>
          <w:numId w:val="18"/>
        </w:numPr>
        <w:tabs>
          <w:tab w:pos="1078" w:val="left" w:leader="none"/>
          <w:tab w:pos="1079" w:val="left" w:leader="none"/>
        </w:tabs>
        <w:spacing w:line="240" w:lineRule="auto" w:before="0" w:after="0"/>
        <w:ind w:left="1078" w:right="0" w:hanging="340"/>
        <w:jc w:val="left"/>
        <w:rPr>
          <w:sz w:val="22"/>
        </w:rPr>
      </w:pPr>
      <w:r>
        <w:rPr>
          <w:w w:val="105"/>
          <w:sz w:val="22"/>
        </w:rPr>
        <w:t>la</w:t>
      </w:r>
      <w:r>
        <w:rPr>
          <w:spacing w:val="-28"/>
          <w:w w:val="105"/>
          <w:sz w:val="22"/>
        </w:rPr>
        <w:t> </w:t>
      </w:r>
      <w:r>
        <w:rPr>
          <w:w w:val="105"/>
          <w:sz w:val="22"/>
        </w:rPr>
        <w:t>cessione</w:t>
      </w:r>
      <w:r>
        <w:rPr>
          <w:spacing w:val="-29"/>
          <w:w w:val="105"/>
          <w:sz w:val="22"/>
        </w:rPr>
        <w:t> </w:t>
      </w:r>
      <w:r>
        <w:rPr>
          <w:w w:val="105"/>
          <w:sz w:val="22"/>
        </w:rPr>
        <w:t>dell’Immobile</w:t>
      </w:r>
      <w:r>
        <w:rPr>
          <w:spacing w:val="-28"/>
          <w:w w:val="105"/>
          <w:sz w:val="22"/>
        </w:rPr>
        <w:t> </w:t>
      </w:r>
      <w:r>
        <w:rPr>
          <w:w w:val="105"/>
          <w:sz w:val="22"/>
        </w:rPr>
        <w:t>Modugno;</w:t>
      </w:r>
    </w:p>
    <w:p>
      <w:pPr>
        <w:pStyle w:val="BodyText"/>
        <w:spacing w:before="3"/>
        <w:rPr>
          <w:sz w:val="23"/>
        </w:rPr>
      </w:pPr>
    </w:p>
    <w:p>
      <w:pPr>
        <w:pStyle w:val="ListParagraph"/>
        <w:numPr>
          <w:ilvl w:val="2"/>
          <w:numId w:val="18"/>
        </w:numPr>
        <w:tabs>
          <w:tab w:pos="1078" w:val="left" w:leader="none"/>
          <w:tab w:pos="1079" w:val="left" w:leader="none"/>
        </w:tabs>
        <w:spacing w:line="240" w:lineRule="auto" w:before="0" w:after="0"/>
        <w:ind w:left="1078" w:right="0" w:hanging="340"/>
        <w:jc w:val="left"/>
        <w:rPr>
          <w:sz w:val="22"/>
        </w:rPr>
      </w:pPr>
      <w:r>
        <w:rPr>
          <w:sz w:val="22"/>
        </w:rPr>
        <w:t>l’Impegno</w:t>
      </w:r>
      <w:r>
        <w:rPr>
          <w:spacing w:val="42"/>
          <w:sz w:val="22"/>
        </w:rPr>
        <w:t> </w:t>
      </w:r>
      <w:r>
        <w:rPr>
          <w:sz w:val="22"/>
        </w:rPr>
        <w:t>Ghisolfi;</w:t>
      </w:r>
    </w:p>
    <w:p>
      <w:pPr>
        <w:pStyle w:val="BodyText"/>
        <w:spacing w:before="1"/>
        <w:rPr>
          <w:sz w:val="23"/>
        </w:rPr>
      </w:pPr>
    </w:p>
    <w:p>
      <w:pPr>
        <w:pStyle w:val="ListParagraph"/>
        <w:numPr>
          <w:ilvl w:val="2"/>
          <w:numId w:val="18"/>
        </w:numPr>
        <w:tabs>
          <w:tab w:pos="1078" w:val="left" w:leader="none"/>
          <w:tab w:pos="1079" w:val="left" w:leader="none"/>
        </w:tabs>
        <w:spacing w:line="240" w:lineRule="auto" w:before="0" w:after="0"/>
        <w:ind w:left="1078" w:right="0" w:hanging="340"/>
        <w:jc w:val="left"/>
        <w:rPr>
          <w:sz w:val="22"/>
        </w:rPr>
      </w:pPr>
      <w:r>
        <w:rPr>
          <w:sz w:val="22"/>
        </w:rPr>
        <w:t>la Postergazione</w:t>
      </w:r>
      <w:r>
        <w:rPr>
          <w:spacing w:val="44"/>
          <w:sz w:val="22"/>
        </w:rPr>
        <w:t> </w:t>
      </w:r>
      <w:r>
        <w:rPr>
          <w:sz w:val="22"/>
        </w:rPr>
        <w:t>Novozymes;</w:t>
      </w:r>
    </w:p>
    <w:p>
      <w:pPr>
        <w:pStyle w:val="BodyText"/>
        <w:spacing w:before="2"/>
        <w:rPr>
          <w:sz w:val="23"/>
        </w:rPr>
      </w:pPr>
    </w:p>
    <w:p>
      <w:pPr>
        <w:pStyle w:val="ListParagraph"/>
        <w:numPr>
          <w:ilvl w:val="2"/>
          <w:numId w:val="18"/>
        </w:numPr>
        <w:tabs>
          <w:tab w:pos="1078" w:val="left" w:leader="none"/>
          <w:tab w:pos="1079" w:val="left" w:leader="none"/>
        </w:tabs>
        <w:spacing w:line="240" w:lineRule="auto" w:before="0" w:after="0"/>
        <w:ind w:left="1078" w:right="0" w:hanging="340"/>
        <w:jc w:val="left"/>
        <w:rPr>
          <w:sz w:val="22"/>
        </w:rPr>
      </w:pPr>
      <w:r>
        <w:rPr>
          <w:w w:val="105"/>
          <w:sz w:val="22"/>
        </w:rPr>
        <w:t>l’Impegno</w:t>
      </w:r>
      <w:r>
        <w:rPr>
          <w:spacing w:val="-29"/>
          <w:w w:val="105"/>
          <w:sz w:val="22"/>
        </w:rPr>
        <w:t> </w:t>
      </w:r>
      <w:r>
        <w:rPr>
          <w:w w:val="105"/>
          <w:sz w:val="22"/>
        </w:rPr>
        <w:t>Eredi</w:t>
      </w:r>
      <w:r>
        <w:rPr>
          <w:spacing w:val="-29"/>
          <w:w w:val="105"/>
          <w:sz w:val="22"/>
        </w:rPr>
        <w:t> </w:t>
      </w:r>
      <w:r>
        <w:rPr>
          <w:w w:val="105"/>
          <w:sz w:val="22"/>
        </w:rPr>
        <w:t>Ghisolfi;</w:t>
      </w:r>
    </w:p>
    <w:p>
      <w:pPr>
        <w:pStyle w:val="BodyText"/>
        <w:spacing w:before="2"/>
        <w:rPr>
          <w:sz w:val="23"/>
        </w:rPr>
      </w:pPr>
    </w:p>
    <w:p>
      <w:pPr>
        <w:pStyle w:val="ListParagraph"/>
        <w:numPr>
          <w:ilvl w:val="2"/>
          <w:numId w:val="18"/>
        </w:numPr>
        <w:tabs>
          <w:tab w:pos="1078" w:val="left" w:leader="none"/>
          <w:tab w:pos="1079" w:val="left" w:leader="none"/>
        </w:tabs>
        <w:spacing w:line="240" w:lineRule="auto" w:before="0" w:after="0"/>
        <w:ind w:left="1078" w:right="0" w:hanging="340"/>
        <w:jc w:val="left"/>
        <w:rPr>
          <w:sz w:val="22"/>
        </w:rPr>
      </w:pPr>
      <w:r>
        <w:rPr>
          <w:w w:val="105"/>
          <w:sz w:val="22"/>
        </w:rPr>
        <w:t>la</w:t>
      </w:r>
      <w:r>
        <w:rPr>
          <w:spacing w:val="-30"/>
          <w:w w:val="105"/>
          <w:sz w:val="22"/>
        </w:rPr>
        <w:t> </w:t>
      </w:r>
      <w:r>
        <w:rPr>
          <w:w w:val="105"/>
          <w:sz w:val="22"/>
        </w:rPr>
        <w:t>Transazione</w:t>
      </w:r>
      <w:r>
        <w:rPr>
          <w:spacing w:val="-31"/>
          <w:w w:val="105"/>
          <w:sz w:val="22"/>
        </w:rPr>
        <w:t> </w:t>
      </w:r>
      <w:r>
        <w:rPr>
          <w:w w:val="105"/>
          <w:sz w:val="22"/>
        </w:rPr>
        <w:t>Granbio;</w:t>
      </w:r>
    </w:p>
    <w:p>
      <w:pPr>
        <w:pStyle w:val="BodyText"/>
        <w:spacing w:before="2"/>
        <w:rPr>
          <w:sz w:val="23"/>
        </w:rPr>
      </w:pPr>
    </w:p>
    <w:p>
      <w:pPr>
        <w:pStyle w:val="ListParagraph"/>
        <w:numPr>
          <w:ilvl w:val="2"/>
          <w:numId w:val="18"/>
        </w:numPr>
        <w:tabs>
          <w:tab w:pos="1078" w:val="left" w:leader="none"/>
          <w:tab w:pos="1079" w:val="left" w:leader="none"/>
        </w:tabs>
        <w:spacing w:line="477" w:lineRule="auto" w:before="0" w:after="0"/>
        <w:ind w:left="1078" w:right="2196" w:hanging="340"/>
        <w:jc w:val="left"/>
        <w:rPr>
          <w:sz w:val="22"/>
        </w:rPr>
      </w:pPr>
      <w:r>
        <w:rPr>
          <w:w w:val="105"/>
          <w:sz w:val="22"/>
        </w:rPr>
        <w:t>la trasformazione della Società in s.r.l., con conseguente risparmio sui</w:t>
      </w:r>
      <w:r>
        <w:rPr>
          <w:spacing w:val="-17"/>
          <w:w w:val="105"/>
          <w:sz w:val="22"/>
        </w:rPr>
        <w:t> </w:t>
      </w:r>
      <w:r>
        <w:rPr>
          <w:w w:val="105"/>
          <w:sz w:val="22"/>
        </w:rPr>
        <w:t>costi</w:t>
      </w:r>
      <w:r>
        <w:rPr>
          <w:spacing w:val="-18"/>
          <w:w w:val="105"/>
          <w:sz w:val="22"/>
        </w:rPr>
        <w:t> </w:t>
      </w:r>
      <w:r>
        <w:rPr>
          <w:w w:val="105"/>
          <w:sz w:val="22"/>
        </w:rPr>
        <w:t>fissi</w:t>
      </w:r>
      <w:r>
        <w:rPr>
          <w:spacing w:val="-17"/>
          <w:w w:val="105"/>
          <w:sz w:val="22"/>
        </w:rPr>
        <w:t> </w:t>
      </w:r>
      <w:r>
        <w:rPr>
          <w:w w:val="105"/>
          <w:sz w:val="22"/>
        </w:rPr>
        <w:t>della</w:t>
      </w:r>
      <w:r>
        <w:rPr>
          <w:spacing w:val="-17"/>
          <w:w w:val="105"/>
          <w:sz w:val="22"/>
        </w:rPr>
        <w:t> </w:t>
      </w:r>
      <w:r>
        <w:rPr>
          <w:w w:val="105"/>
          <w:sz w:val="22"/>
        </w:rPr>
        <w:t>struttura</w:t>
      </w:r>
      <w:r>
        <w:rPr>
          <w:spacing w:val="-18"/>
          <w:w w:val="105"/>
          <w:sz w:val="22"/>
        </w:rPr>
        <w:t> </w:t>
      </w:r>
      <w:r>
        <w:rPr>
          <w:w w:val="105"/>
          <w:sz w:val="22"/>
        </w:rPr>
        <w:t>societaria;</w:t>
      </w:r>
    </w:p>
    <w:p>
      <w:pPr>
        <w:pStyle w:val="ListParagraph"/>
        <w:numPr>
          <w:ilvl w:val="2"/>
          <w:numId w:val="18"/>
        </w:numPr>
        <w:tabs>
          <w:tab w:pos="1078" w:val="left" w:leader="none"/>
          <w:tab w:pos="1079" w:val="left" w:leader="none"/>
        </w:tabs>
        <w:spacing w:line="477" w:lineRule="auto" w:before="16" w:after="0"/>
        <w:ind w:left="1078" w:right="2197" w:hanging="340"/>
        <w:jc w:val="left"/>
        <w:rPr>
          <w:sz w:val="22"/>
        </w:rPr>
      </w:pPr>
      <w:r>
        <w:rPr>
          <w:w w:val="105"/>
          <w:sz w:val="22"/>
        </w:rPr>
        <w:t>il Piano di Ripagamento che illustra le tempistiche di rimborso dei creditori.</w:t>
      </w:r>
    </w:p>
    <w:p>
      <w:pPr>
        <w:pStyle w:val="BodyText"/>
        <w:spacing w:before="16"/>
        <w:ind w:left="476" w:right="2272"/>
        <w:jc w:val="center"/>
      </w:pPr>
      <w:r>
        <w:rPr>
          <w:w w:val="105"/>
        </w:rPr>
        <w:t>* * *</w:t>
      </w:r>
    </w:p>
    <w:p>
      <w:pPr>
        <w:pStyle w:val="BodyText"/>
        <w:rPr>
          <w:sz w:val="23"/>
        </w:rPr>
      </w:pPr>
    </w:p>
    <w:p>
      <w:pPr>
        <w:pStyle w:val="Heading2"/>
        <w:numPr>
          <w:ilvl w:val="1"/>
          <w:numId w:val="18"/>
        </w:numPr>
        <w:tabs>
          <w:tab w:pos="729" w:val="left" w:leader="none"/>
        </w:tabs>
        <w:spacing w:line="240" w:lineRule="auto" w:before="1" w:after="0"/>
        <w:ind w:left="728" w:right="0" w:hanging="328"/>
        <w:jc w:val="both"/>
      </w:pPr>
      <w:bookmarkStart w:name="_TOC_250025" w:id="27"/>
      <w:r>
        <w:rPr>
          <w:w w:val="105"/>
        </w:rPr>
        <w:t>Considerazioni</w:t>
      </w:r>
      <w:r>
        <w:rPr>
          <w:spacing w:val="-24"/>
          <w:w w:val="105"/>
        </w:rPr>
        <w:t> </w:t>
      </w:r>
      <w:r>
        <w:rPr>
          <w:w w:val="105"/>
        </w:rPr>
        <w:t>sulla</w:t>
      </w:r>
      <w:r>
        <w:rPr>
          <w:spacing w:val="-23"/>
          <w:w w:val="105"/>
        </w:rPr>
        <w:t> </w:t>
      </w:r>
      <w:r>
        <w:rPr>
          <w:w w:val="105"/>
        </w:rPr>
        <w:t>Proposta</w:t>
      </w:r>
      <w:r>
        <w:rPr>
          <w:spacing w:val="-23"/>
          <w:w w:val="105"/>
        </w:rPr>
        <w:t> </w:t>
      </w:r>
      <w:r>
        <w:rPr>
          <w:w w:val="105"/>
        </w:rPr>
        <w:t>e</w:t>
      </w:r>
      <w:r>
        <w:rPr>
          <w:spacing w:val="-23"/>
          <w:w w:val="105"/>
        </w:rPr>
        <w:t> </w:t>
      </w:r>
      <w:r>
        <w:rPr>
          <w:w w:val="105"/>
        </w:rPr>
        <w:t>sul</w:t>
      </w:r>
      <w:r>
        <w:rPr>
          <w:spacing w:val="-23"/>
          <w:w w:val="105"/>
        </w:rPr>
        <w:t> </w:t>
      </w:r>
      <w:bookmarkEnd w:id="27"/>
      <w:r>
        <w:rPr>
          <w:w w:val="105"/>
        </w:rPr>
        <w:t>Piano</w:t>
      </w:r>
    </w:p>
    <w:p>
      <w:pPr>
        <w:pStyle w:val="BodyText"/>
        <w:spacing w:before="1"/>
        <w:rPr>
          <w:b/>
          <w:sz w:val="23"/>
        </w:rPr>
      </w:pPr>
    </w:p>
    <w:p>
      <w:pPr>
        <w:pStyle w:val="BodyText"/>
        <w:spacing w:line="491" w:lineRule="auto"/>
        <w:ind w:left="400" w:right="2194"/>
        <w:jc w:val="both"/>
      </w:pPr>
      <w:r>
        <w:rPr>
          <w:w w:val="105"/>
        </w:rPr>
        <w:t>La Società, come anticipato, intende sottoporre ai propri creditori ed a codesto Ill.mo Tribunale una Proposta ed un Piano, che possono essere qualificati liquidatori, in quanto prevedono la cessione integrale dei </w:t>
      </w:r>
      <w:r>
        <w:rPr>
          <w:spacing w:val="56"/>
          <w:w w:val="105"/>
        </w:rPr>
        <w:t> </w:t>
      </w:r>
      <w:r>
        <w:rPr>
          <w:w w:val="105"/>
        </w:rPr>
        <w:t>cespiti</w:t>
      </w:r>
    </w:p>
    <w:p>
      <w:pPr>
        <w:spacing w:after="0" w:line="491" w:lineRule="auto"/>
        <w:jc w:val="both"/>
        <w:sectPr>
          <w:pgSz w:w="12240" w:h="15840"/>
          <w:pgMar w:header="0" w:footer="790" w:top="1500" w:bottom="980" w:left="1720" w:right="1200"/>
        </w:sectPr>
      </w:pPr>
    </w:p>
    <w:p>
      <w:pPr>
        <w:pStyle w:val="BodyText"/>
        <w:spacing w:line="491" w:lineRule="auto" w:before="105"/>
        <w:ind w:left="400" w:right="2196"/>
        <w:jc w:val="both"/>
      </w:pPr>
      <w:r>
        <w:rPr>
          <w:w w:val="105"/>
        </w:rPr>
        <w:t>della</w:t>
      </w:r>
      <w:r>
        <w:rPr>
          <w:spacing w:val="-8"/>
          <w:w w:val="105"/>
        </w:rPr>
        <w:t> </w:t>
      </w:r>
      <w:r>
        <w:rPr>
          <w:w w:val="105"/>
        </w:rPr>
        <w:t>Società,</w:t>
      </w:r>
      <w:r>
        <w:rPr>
          <w:spacing w:val="-7"/>
          <w:w w:val="105"/>
        </w:rPr>
        <w:t> </w:t>
      </w:r>
      <w:r>
        <w:rPr>
          <w:w w:val="105"/>
        </w:rPr>
        <w:t>l’incasso</w:t>
      </w:r>
      <w:r>
        <w:rPr>
          <w:spacing w:val="-8"/>
          <w:w w:val="105"/>
        </w:rPr>
        <w:t> </w:t>
      </w:r>
      <w:r>
        <w:rPr>
          <w:w w:val="105"/>
        </w:rPr>
        <w:t>dei</w:t>
      </w:r>
      <w:r>
        <w:rPr>
          <w:spacing w:val="-8"/>
          <w:w w:val="105"/>
        </w:rPr>
        <w:t> </w:t>
      </w:r>
      <w:r>
        <w:rPr>
          <w:w w:val="105"/>
        </w:rPr>
        <w:t>crediti</w:t>
      </w:r>
      <w:r>
        <w:rPr>
          <w:spacing w:val="-7"/>
          <w:w w:val="105"/>
        </w:rPr>
        <w:t> </w:t>
      </w:r>
      <w:r>
        <w:rPr>
          <w:w w:val="105"/>
        </w:rPr>
        <w:t>e</w:t>
      </w:r>
      <w:r>
        <w:rPr>
          <w:spacing w:val="-7"/>
          <w:w w:val="105"/>
        </w:rPr>
        <w:t> </w:t>
      </w:r>
      <w:r>
        <w:rPr>
          <w:w w:val="105"/>
        </w:rPr>
        <w:t>la</w:t>
      </w:r>
      <w:r>
        <w:rPr>
          <w:spacing w:val="-8"/>
          <w:w w:val="105"/>
        </w:rPr>
        <w:t> </w:t>
      </w:r>
      <w:r>
        <w:rPr>
          <w:w w:val="105"/>
        </w:rPr>
        <w:t>destinazione</w:t>
      </w:r>
      <w:r>
        <w:rPr>
          <w:spacing w:val="-7"/>
          <w:w w:val="105"/>
        </w:rPr>
        <w:t> </w:t>
      </w:r>
      <w:r>
        <w:rPr>
          <w:w w:val="105"/>
        </w:rPr>
        <w:t>del</w:t>
      </w:r>
      <w:r>
        <w:rPr>
          <w:spacing w:val="-7"/>
          <w:w w:val="105"/>
        </w:rPr>
        <w:t> </w:t>
      </w:r>
      <w:r>
        <w:rPr>
          <w:w w:val="105"/>
        </w:rPr>
        <w:t>ricavato</w:t>
      </w:r>
      <w:r>
        <w:rPr>
          <w:spacing w:val="-8"/>
          <w:w w:val="105"/>
        </w:rPr>
        <w:t> </w:t>
      </w:r>
      <w:r>
        <w:rPr>
          <w:w w:val="105"/>
        </w:rPr>
        <w:t>al</w:t>
      </w:r>
      <w:r>
        <w:rPr>
          <w:spacing w:val="-7"/>
          <w:w w:val="105"/>
        </w:rPr>
        <w:t> </w:t>
      </w:r>
      <w:r>
        <w:rPr>
          <w:w w:val="105"/>
        </w:rPr>
        <w:t>pagamento del</w:t>
      </w:r>
      <w:r>
        <w:rPr>
          <w:spacing w:val="-8"/>
          <w:w w:val="105"/>
        </w:rPr>
        <w:t> </w:t>
      </w:r>
      <w:r>
        <w:rPr>
          <w:w w:val="105"/>
        </w:rPr>
        <w:t>ceto</w:t>
      </w:r>
      <w:r>
        <w:rPr>
          <w:spacing w:val="-8"/>
          <w:w w:val="105"/>
        </w:rPr>
        <w:t> </w:t>
      </w:r>
      <w:r>
        <w:rPr>
          <w:w w:val="105"/>
        </w:rPr>
        <w:t>creditorio,</w:t>
      </w:r>
      <w:r>
        <w:rPr>
          <w:spacing w:val="-8"/>
          <w:w w:val="105"/>
        </w:rPr>
        <w:t> </w:t>
      </w:r>
      <w:r>
        <w:rPr>
          <w:w w:val="105"/>
        </w:rPr>
        <w:t>dedotte</w:t>
      </w:r>
      <w:r>
        <w:rPr>
          <w:spacing w:val="-7"/>
          <w:w w:val="105"/>
        </w:rPr>
        <w:t> </w:t>
      </w:r>
      <w:r>
        <w:rPr>
          <w:w w:val="105"/>
        </w:rPr>
        <w:t>le</w:t>
      </w:r>
      <w:r>
        <w:rPr>
          <w:spacing w:val="-7"/>
          <w:w w:val="105"/>
        </w:rPr>
        <w:t> </w:t>
      </w:r>
      <w:r>
        <w:rPr>
          <w:w w:val="105"/>
        </w:rPr>
        <w:t>somme</w:t>
      </w:r>
      <w:r>
        <w:rPr>
          <w:spacing w:val="-7"/>
          <w:w w:val="105"/>
        </w:rPr>
        <w:t> </w:t>
      </w:r>
      <w:r>
        <w:rPr>
          <w:w w:val="105"/>
        </w:rPr>
        <w:t>necessarie</w:t>
      </w:r>
      <w:r>
        <w:rPr>
          <w:spacing w:val="-8"/>
          <w:w w:val="105"/>
        </w:rPr>
        <w:t> </w:t>
      </w:r>
      <w:r>
        <w:rPr>
          <w:w w:val="105"/>
        </w:rPr>
        <w:t>al</w:t>
      </w:r>
      <w:r>
        <w:rPr>
          <w:spacing w:val="-7"/>
          <w:w w:val="105"/>
        </w:rPr>
        <w:t> </w:t>
      </w:r>
      <w:r>
        <w:rPr>
          <w:w w:val="105"/>
        </w:rPr>
        <w:t>pagamento</w:t>
      </w:r>
      <w:r>
        <w:rPr>
          <w:spacing w:val="-9"/>
          <w:w w:val="105"/>
        </w:rPr>
        <w:t> </w:t>
      </w:r>
      <w:r>
        <w:rPr>
          <w:w w:val="105"/>
        </w:rPr>
        <w:t>delle</w:t>
      </w:r>
      <w:r>
        <w:rPr>
          <w:spacing w:val="-8"/>
          <w:w w:val="105"/>
        </w:rPr>
        <w:t> </w:t>
      </w:r>
      <w:r>
        <w:rPr>
          <w:w w:val="105"/>
        </w:rPr>
        <w:t>spese</w:t>
      </w:r>
      <w:r>
        <w:rPr>
          <w:spacing w:val="-7"/>
          <w:w w:val="105"/>
        </w:rPr>
        <w:t> </w:t>
      </w:r>
      <w:r>
        <w:rPr>
          <w:w w:val="105"/>
        </w:rPr>
        <w:t>di giustizia e dei crediti prededucibili </w:t>
      </w:r>
      <w:r>
        <w:rPr>
          <w:i/>
          <w:w w:val="105"/>
        </w:rPr>
        <w:t>medio tempore </w:t>
      </w:r>
      <w:r>
        <w:rPr>
          <w:w w:val="105"/>
        </w:rPr>
        <w:t>maturati in linea con il Business</w:t>
      </w:r>
      <w:r>
        <w:rPr>
          <w:spacing w:val="-34"/>
          <w:w w:val="105"/>
        </w:rPr>
        <w:t> </w:t>
      </w:r>
      <w:r>
        <w:rPr>
          <w:w w:val="105"/>
        </w:rPr>
        <w:t>Plan.</w:t>
      </w:r>
    </w:p>
    <w:p>
      <w:pPr>
        <w:pStyle w:val="BodyText"/>
        <w:spacing w:line="491" w:lineRule="auto"/>
        <w:ind w:left="400" w:right="2195"/>
        <w:jc w:val="both"/>
      </w:pPr>
      <w:r>
        <w:rPr>
          <w:w w:val="105"/>
        </w:rPr>
        <w:t>In particolare, come indicato nel ricorso per concordato “prenotativo” e richiamato</w:t>
      </w:r>
      <w:r>
        <w:rPr>
          <w:spacing w:val="-4"/>
          <w:w w:val="105"/>
        </w:rPr>
        <w:t> </w:t>
      </w:r>
      <w:r>
        <w:rPr>
          <w:w w:val="105"/>
        </w:rPr>
        <w:t>in</w:t>
      </w:r>
      <w:r>
        <w:rPr>
          <w:spacing w:val="-6"/>
          <w:w w:val="105"/>
        </w:rPr>
        <w:t> </w:t>
      </w:r>
      <w:r>
        <w:rPr>
          <w:w w:val="105"/>
        </w:rPr>
        <w:t>premessa</w:t>
      </w:r>
      <w:r>
        <w:rPr>
          <w:spacing w:val="-5"/>
          <w:w w:val="105"/>
        </w:rPr>
        <w:t> </w:t>
      </w:r>
      <w:r>
        <w:rPr>
          <w:w w:val="105"/>
        </w:rPr>
        <w:t>del</w:t>
      </w:r>
      <w:r>
        <w:rPr>
          <w:spacing w:val="-6"/>
          <w:w w:val="105"/>
        </w:rPr>
        <w:t> </w:t>
      </w:r>
      <w:r>
        <w:rPr>
          <w:w w:val="105"/>
        </w:rPr>
        <w:t>presente</w:t>
      </w:r>
      <w:r>
        <w:rPr>
          <w:spacing w:val="-4"/>
          <w:w w:val="105"/>
        </w:rPr>
        <w:t> </w:t>
      </w:r>
      <w:r>
        <w:rPr>
          <w:w w:val="105"/>
        </w:rPr>
        <w:t>atto,</w:t>
      </w:r>
      <w:r>
        <w:rPr>
          <w:spacing w:val="-5"/>
          <w:w w:val="105"/>
        </w:rPr>
        <w:t> </w:t>
      </w:r>
      <w:r>
        <w:rPr>
          <w:w w:val="105"/>
        </w:rPr>
        <w:t>poiché</w:t>
      </w:r>
      <w:r>
        <w:rPr>
          <w:spacing w:val="-5"/>
          <w:w w:val="105"/>
        </w:rPr>
        <w:t> </w:t>
      </w:r>
      <w:r>
        <w:rPr>
          <w:w w:val="105"/>
        </w:rPr>
        <w:t>il</w:t>
      </w:r>
      <w:r>
        <w:rPr>
          <w:spacing w:val="-6"/>
          <w:w w:val="105"/>
        </w:rPr>
        <w:t> </w:t>
      </w:r>
      <w:r>
        <w:rPr>
          <w:w w:val="105"/>
        </w:rPr>
        <w:t>nostro</w:t>
      </w:r>
      <w:r>
        <w:rPr>
          <w:spacing w:val="-6"/>
          <w:w w:val="105"/>
        </w:rPr>
        <w:t> </w:t>
      </w:r>
      <w:r>
        <w:rPr>
          <w:w w:val="105"/>
        </w:rPr>
        <w:t>ordinamento</w:t>
      </w:r>
      <w:r>
        <w:rPr>
          <w:spacing w:val="-5"/>
          <w:w w:val="105"/>
        </w:rPr>
        <w:t> </w:t>
      </w:r>
      <w:r>
        <w:rPr>
          <w:w w:val="105"/>
        </w:rPr>
        <w:t>non conosce il cd. “concordato di gruppo”, si ricorda che, contestualmente al deposito del ricorso ex art. 161, sesto comma, legge fall. da parte di Biochemtex, hanno depositato analoghi ricorsi anche le altre società del Gruppo</w:t>
      </w:r>
      <w:r>
        <w:rPr>
          <w:spacing w:val="-10"/>
          <w:w w:val="105"/>
        </w:rPr>
        <w:t> </w:t>
      </w:r>
      <w:r>
        <w:rPr>
          <w:w w:val="105"/>
        </w:rPr>
        <w:t>Mossi</w:t>
      </w:r>
      <w:r>
        <w:rPr>
          <w:spacing w:val="-10"/>
          <w:w w:val="105"/>
        </w:rPr>
        <w:t> </w:t>
      </w:r>
      <w:r>
        <w:rPr>
          <w:w w:val="105"/>
        </w:rPr>
        <w:t>Ghisolfi</w:t>
      </w:r>
      <w:r>
        <w:rPr>
          <w:spacing w:val="-10"/>
          <w:w w:val="105"/>
        </w:rPr>
        <w:t> </w:t>
      </w:r>
      <w:r>
        <w:rPr>
          <w:w w:val="105"/>
        </w:rPr>
        <w:t>avanti</w:t>
      </w:r>
      <w:r>
        <w:rPr>
          <w:spacing w:val="-10"/>
          <w:w w:val="105"/>
        </w:rPr>
        <w:t> </w:t>
      </w:r>
      <w:r>
        <w:rPr>
          <w:w w:val="105"/>
        </w:rPr>
        <w:t>a</w:t>
      </w:r>
      <w:r>
        <w:rPr>
          <w:spacing w:val="-10"/>
          <w:w w:val="105"/>
        </w:rPr>
        <w:t> </w:t>
      </w:r>
      <w:r>
        <w:rPr>
          <w:w w:val="105"/>
        </w:rPr>
        <w:t>codesto</w:t>
      </w:r>
      <w:r>
        <w:rPr>
          <w:spacing w:val="-10"/>
          <w:w w:val="105"/>
        </w:rPr>
        <w:t> </w:t>
      </w:r>
      <w:r>
        <w:rPr>
          <w:w w:val="105"/>
        </w:rPr>
        <w:t>Ill.mo</w:t>
      </w:r>
      <w:r>
        <w:rPr>
          <w:spacing w:val="-10"/>
          <w:w w:val="105"/>
        </w:rPr>
        <w:t> </w:t>
      </w:r>
      <w:r>
        <w:rPr>
          <w:w w:val="105"/>
        </w:rPr>
        <w:t>Tribunale,</w:t>
      </w:r>
      <w:r>
        <w:rPr>
          <w:spacing w:val="-12"/>
          <w:w w:val="105"/>
        </w:rPr>
        <w:t> </w:t>
      </w:r>
      <w:r>
        <w:rPr>
          <w:w w:val="105"/>
        </w:rPr>
        <w:t>al</w:t>
      </w:r>
      <w:r>
        <w:rPr>
          <w:spacing w:val="-10"/>
          <w:w w:val="105"/>
        </w:rPr>
        <w:t> </w:t>
      </w:r>
      <w:r>
        <w:rPr>
          <w:w w:val="105"/>
        </w:rPr>
        <w:t>fine</w:t>
      </w:r>
      <w:r>
        <w:rPr>
          <w:spacing w:val="-10"/>
          <w:w w:val="105"/>
        </w:rPr>
        <w:t> </w:t>
      </w:r>
      <w:r>
        <w:rPr>
          <w:w w:val="105"/>
        </w:rPr>
        <w:t>di</w:t>
      </w:r>
      <w:r>
        <w:rPr>
          <w:spacing w:val="-10"/>
          <w:w w:val="105"/>
        </w:rPr>
        <w:t> </w:t>
      </w:r>
      <w:r>
        <w:rPr>
          <w:w w:val="105"/>
        </w:rPr>
        <w:t>risolvere la</w:t>
      </w:r>
      <w:r>
        <w:rPr>
          <w:spacing w:val="-14"/>
          <w:w w:val="105"/>
        </w:rPr>
        <w:t> </w:t>
      </w:r>
      <w:r>
        <w:rPr>
          <w:w w:val="105"/>
        </w:rPr>
        <w:t>propri</w:t>
      </w:r>
      <w:r>
        <w:rPr>
          <w:spacing w:val="-13"/>
          <w:w w:val="105"/>
        </w:rPr>
        <w:t> </w:t>
      </w:r>
      <w:r>
        <w:rPr>
          <w:w w:val="105"/>
        </w:rPr>
        <w:t>crisi</w:t>
      </w:r>
      <w:r>
        <w:rPr>
          <w:spacing w:val="-15"/>
          <w:w w:val="105"/>
        </w:rPr>
        <w:t> </w:t>
      </w:r>
      <w:r>
        <w:rPr>
          <w:w w:val="105"/>
        </w:rPr>
        <w:t>attraverso</w:t>
      </w:r>
      <w:r>
        <w:rPr>
          <w:spacing w:val="-14"/>
          <w:w w:val="105"/>
        </w:rPr>
        <w:t> </w:t>
      </w:r>
      <w:r>
        <w:rPr>
          <w:w w:val="105"/>
        </w:rPr>
        <w:t>uno</w:t>
      </w:r>
      <w:r>
        <w:rPr>
          <w:spacing w:val="-14"/>
          <w:w w:val="105"/>
        </w:rPr>
        <w:t> </w:t>
      </w:r>
      <w:r>
        <w:rPr>
          <w:w w:val="105"/>
        </w:rPr>
        <w:t>strumento</w:t>
      </w:r>
      <w:r>
        <w:rPr>
          <w:spacing w:val="-14"/>
          <w:w w:val="105"/>
        </w:rPr>
        <w:t> </w:t>
      </w:r>
      <w:r>
        <w:rPr>
          <w:w w:val="105"/>
        </w:rPr>
        <w:t>unitario</w:t>
      </w:r>
      <w:r>
        <w:rPr>
          <w:spacing w:val="-15"/>
          <w:w w:val="105"/>
        </w:rPr>
        <w:t> </w:t>
      </w:r>
      <w:r>
        <w:rPr>
          <w:w w:val="105"/>
        </w:rPr>
        <w:t>che</w:t>
      </w:r>
      <w:r>
        <w:rPr>
          <w:spacing w:val="-14"/>
          <w:w w:val="105"/>
        </w:rPr>
        <w:t> </w:t>
      </w:r>
      <w:r>
        <w:rPr>
          <w:w w:val="105"/>
        </w:rPr>
        <w:t>coinvolgesse</w:t>
      </w:r>
      <w:r>
        <w:rPr>
          <w:spacing w:val="-14"/>
          <w:w w:val="105"/>
        </w:rPr>
        <w:t> </w:t>
      </w:r>
      <w:r>
        <w:rPr>
          <w:w w:val="105"/>
        </w:rPr>
        <w:t>tutte</w:t>
      </w:r>
      <w:r>
        <w:rPr>
          <w:spacing w:val="-14"/>
          <w:w w:val="105"/>
        </w:rPr>
        <w:t> </w:t>
      </w:r>
      <w:r>
        <w:rPr>
          <w:w w:val="105"/>
        </w:rPr>
        <w:t>o</w:t>
      </w:r>
      <w:r>
        <w:rPr>
          <w:spacing w:val="-14"/>
          <w:w w:val="105"/>
        </w:rPr>
        <w:t> </w:t>
      </w:r>
      <w:r>
        <w:rPr>
          <w:w w:val="105"/>
        </w:rPr>
        <w:t>una parte</w:t>
      </w:r>
      <w:r>
        <w:rPr>
          <w:spacing w:val="-12"/>
          <w:w w:val="105"/>
        </w:rPr>
        <w:t> </w:t>
      </w:r>
      <w:r>
        <w:rPr>
          <w:w w:val="105"/>
        </w:rPr>
        <w:t>di</w:t>
      </w:r>
      <w:r>
        <w:rPr>
          <w:spacing w:val="-13"/>
          <w:w w:val="105"/>
        </w:rPr>
        <w:t> </w:t>
      </w:r>
      <w:r>
        <w:rPr>
          <w:w w:val="105"/>
        </w:rPr>
        <w:t>esse.</w:t>
      </w:r>
      <w:r>
        <w:rPr>
          <w:spacing w:val="-13"/>
          <w:w w:val="105"/>
        </w:rPr>
        <w:t> </w:t>
      </w:r>
      <w:r>
        <w:rPr>
          <w:w w:val="105"/>
        </w:rPr>
        <w:t>E</w:t>
      </w:r>
      <w:r>
        <w:rPr>
          <w:spacing w:val="-13"/>
          <w:w w:val="105"/>
        </w:rPr>
        <w:t> </w:t>
      </w:r>
      <w:r>
        <w:rPr>
          <w:w w:val="105"/>
        </w:rPr>
        <w:t>ciò,</w:t>
      </w:r>
      <w:r>
        <w:rPr>
          <w:spacing w:val="-13"/>
          <w:w w:val="105"/>
        </w:rPr>
        <w:t> </w:t>
      </w:r>
      <w:r>
        <w:rPr>
          <w:w w:val="105"/>
        </w:rPr>
        <w:t>stante</w:t>
      </w:r>
      <w:r>
        <w:rPr>
          <w:spacing w:val="-13"/>
          <w:w w:val="105"/>
        </w:rPr>
        <w:t> </w:t>
      </w:r>
      <w:r>
        <w:rPr>
          <w:w w:val="105"/>
        </w:rPr>
        <w:t>il</w:t>
      </w:r>
      <w:r>
        <w:rPr>
          <w:spacing w:val="-13"/>
          <w:w w:val="105"/>
        </w:rPr>
        <w:t> </w:t>
      </w:r>
      <w:r>
        <w:rPr>
          <w:w w:val="105"/>
        </w:rPr>
        <w:t>contenuto</w:t>
      </w:r>
      <w:r>
        <w:rPr>
          <w:spacing w:val="-13"/>
          <w:w w:val="105"/>
        </w:rPr>
        <w:t> </w:t>
      </w:r>
      <w:r>
        <w:rPr>
          <w:w w:val="105"/>
        </w:rPr>
        <w:t>dell’Offerta</w:t>
      </w:r>
      <w:r>
        <w:rPr>
          <w:spacing w:val="-13"/>
          <w:w w:val="105"/>
        </w:rPr>
        <w:t> </w:t>
      </w:r>
      <w:r>
        <w:rPr>
          <w:w w:val="105"/>
        </w:rPr>
        <w:t>Versalis</w:t>
      </w:r>
      <w:r>
        <w:rPr>
          <w:spacing w:val="-12"/>
          <w:w w:val="105"/>
        </w:rPr>
        <w:t> </w:t>
      </w:r>
      <w:r>
        <w:rPr>
          <w:w w:val="105"/>
        </w:rPr>
        <w:t>e</w:t>
      </w:r>
      <w:r>
        <w:rPr>
          <w:spacing w:val="-13"/>
          <w:w w:val="105"/>
        </w:rPr>
        <w:t> </w:t>
      </w:r>
      <w:r>
        <w:rPr>
          <w:w w:val="105"/>
        </w:rPr>
        <w:t>come</w:t>
      </w:r>
      <w:r>
        <w:rPr>
          <w:spacing w:val="-13"/>
          <w:w w:val="105"/>
        </w:rPr>
        <w:t> </w:t>
      </w:r>
      <w:r>
        <w:rPr>
          <w:w w:val="105"/>
        </w:rPr>
        <w:t>meglio</w:t>
      </w:r>
      <w:r>
        <w:rPr>
          <w:spacing w:val="-13"/>
          <w:w w:val="105"/>
        </w:rPr>
        <w:t> </w:t>
      </w:r>
      <w:r>
        <w:rPr>
          <w:w w:val="105"/>
        </w:rPr>
        <w:t>si dirà </w:t>
      </w:r>
      <w:r>
        <w:rPr>
          <w:i/>
          <w:w w:val="105"/>
        </w:rPr>
        <w:t>infra</w:t>
      </w:r>
      <w:r>
        <w:rPr>
          <w:w w:val="105"/>
        </w:rPr>
        <w:t>, anche e soprattutto attraverso la cessione, nell’ambito di un unico processo di vendita competitivo, dell’insieme dei beni che compongono   il</w:t>
      </w:r>
    </w:p>
    <w:p>
      <w:pPr>
        <w:pStyle w:val="ListParagraph"/>
        <w:numPr>
          <w:ilvl w:val="1"/>
          <w:numId w:val="19"/>
        </w:numPr>
        <w:tabs>
          <w:tab w:pos="764" w:val="left" w:leader="none"/>
        </w:tabs>
        <w:spacing w:line="240" w:lineRule="auto" w:before="0" w:after="0"/>
        <w:ind w:left="763" w:right="0" w:hanging="363"/>
        <w:jc w:val="both"/>
        <w:rPr>
          <w:sz w:val="22"/>
        </w:rPr>
      </w:pPr>
      <w:r>
        <w:rPr>
          <w:sz w:val="22"/>
        </w:rPr>
        <w:t>“Perimetro</w:t>
      </w:r>
      <w:r>
        <w:rPr>
          <w:spacing w:val="27"/>
          <w:sz w:val="22"/>
        </w:rPr>
        <w:t> </w:t>
      </w:r>
      <w:r>
        <w:rPr>
          <w:sz w:val="22"/>
        </w:rPr>
        <w:t>Bio”.</w:t>
      </w:r>
    </w:p>
    <w:p>
      <w:pPr>
        <w:pStyle w:val="BodyText"/>
        <w:spacing w:before="1"/>
        <w:rPr>
          <w:sz w:val="23"/>
        </w:rPr>
      </w:pPr>
    </w:p>
    <w:p>
      <w:pPr>
        <w:pStyle w:val="BodyText"/>
        <w:spacing w:line="491" w:lineRule="auto" w:before="1"/>
        <w:ind w:left="400" w:right="2196"/>
        <w:jc w:val="both"/>
      </w:pPr>
      <w:r>
        <w:rPr>
          <w:w w:val="105"/>
        </w:rPr>
        <w:t>E d’altronde, la necessità che la crisi delle Società del Gruppo M&amp;G sia risolta in via unitaria – anche e soprattutto al fine di meglio valorizzare il “bene azienda” complessivamente inteso – è stato chiaramente espresso anche dai professionisti incaricati di redigere la Perizia Tecnica. Sulla base delle risultanze contenute in tale elaborato, risulta che l’insieme degli asset rientranti nel Perimetro Bio è caratterizzato da un forte legame di unitarietà tecnico-economica.</w:t>
      </w:r>
    </w:p>
    <w:p>
      <w:pPr>
        <w:pStyle w:val="ListParagraph"/>
        <w:numPr>
          <w:ilvl w:val="2"/>
          <w:numId w:val="19"/>
        </w:numPr>
        <w:tabs>
          <w:tab w:pos="1078" w:val="left" w:leader="none"/>
          <w:tab w:pos="1079" w:val="left" w:leader="none"/>
        </w:tabs>
        <w:spacing w:line="465" w:lineRule="auto" w:before="1" w:after="0"/>
        <w:ind w:left="1078" w:right="2733" w:hanging="340"/>
        <w:jc w:val="left"/>
        <w:rPr>
          <w:i/>
          <w:sz w:val="22"/>
        </w:rPr>
      </w:pPr>
      <w:r>
        <w:rPr>
          <w:i/>
          <w:w w:val="105"/>
          <w:sz w:val="22"/>
        </w:rPr>
        <w:t>«Lo</w:t>
      </w:r>
      <w:r>
        <w:rPr>
          <w:i/>
          <w:spacing w:val="-6"/>
          <w:w w:val="105"/>
          <w:sz w:val="22"/>
        </w:rPr>
        <w:t> </w:t>
      </w:r>
      <w:r>
        <w:rPr>
          <w:i/>
          <w:w w:val="105"/>
          <w:sz w:val="22"/>
        </w:rPr>
        <w:t>sviluppo</w:t>
      </w:r>
      <w:r>
        <w:rPr>
          <w:i/>
          <w:spacing w:val="-5"/>
          <w:w w:val="105"/>
          <w:sz w:val="22"/>
        </w:rPr>
        <w:t> </w:t>
      </w:r>
      <w:r>
        <w:rPr>
          <w:i/>
          <w:w w:val="105"/>
          <w:sz w:val="22"/>
        </w:rPr>
        <w:t>del</w:t>
      </w:r>
      <w:r>
        <w:rPr>
          <w:i/>
          <w:spacing w:val="-5"/>
          <w:w w:val="105"/>
          <w:sz w:val="22"/>
        </w:rPr>
        <w:t> </w:t>
      </w:r>
      <w:r>
        <w:rPr>
          <w:i/>
          <w:w w:val="105"/>
          <w:sz w:val="22"/>
        </w:rPr>
        <w:t>progetto</w:t>
      </w:r>
      <w:r>
        <w:rPr>
          <w:i/>
          <w:spacing w:val="-6"/>
          <w:w w:val="105"/>
          <w:sz w:val="22"/>
        </w:rPr>
        <w:t> </w:t>
      </w:r>
      <w:r>
        <w:rPr>
          <w:i/>
          <w:w w:val="105"/>
          <w:sz w:val="22"/>
        </w:rPr>
        <w:t>industriale</w:t>
      </w:r>
      <w:r>
        <w:rPr>
          <w:i/>
          <w:spacing w:val="-5"/>
          <w:w w:val="105"/>
          <w:sz w:val="22"/>
        </w:rPr>
        <w:t> </w:t>
      </w:r>
      <w:r>
        <w:rPr>
          <w:i/>
          <w:w w:val="105"/>
          <w:sz w:val="22"/>
        </w:rPr>
        <w:t>del</w:t>
      </w:r>
      <w:r>
        <w:rPr>
          <w:i/>
          <w:spacing w:val="-5"/>
          <w:w w:val="105"/>
          <w:sz w:val="22"/>
        </w:rPr>
        <w:t> </w:t>
      </w:r>
      <w:r>
        <w:rPr>
          <w:i/>
          <w:w w:val="105"/>
          <w:sz w:val="22"/>
        </w:rPr>
        <w:t>Gruppo</w:t>
      </w:r>
      <w:r>
        <w:rPr>
          <w:i/>
          <w:spacing w:val="-5"/>
          <w:w w:val="105"/>
          <w:sz w:val="22"/>
        </w:rPr>
        <w:t> </w:t>
      </w:r>
      <w:r>
        <w:rPr>
          <w:i/>
          <w:w w:val="105"/>
          <w:sz w:val="22"/>
        </w:rPr>
        <w:t>M&amp;G</w:t>
      </w:r>
      <w:r>
        <w:rPr>
          <w:i/>
          <w:spacing w:val="-6"/>
          <w:w w:val="105"/>
          <w:sz w:val="22"/>
        </w:rPr>
        <w:t> </w:t>
      </w:r>
      <w:r>
        <w:rPr>
          <w:i/>
          <w:w w:val="105"/>
          <w:sz w:val="22"/>
        </w:rPr>
        <w:t>nel</w:t>
      </w:r>
      <w:r>
        <w:rPr>
          <w:i/>
          <w:spacing w:val="-5"/>
          <w:w w:val="105"/>
          <w:sz w:val="22"/>
        </w:rPr>
        <w:t> </w:t>
      </w:r>
      <w:r>
        <w:rPr>
          <w:i/>
          <w:w w:val="105"/>
          <w:sz w:val="22"/>
        </w:rPr>
        <w:t>settore</w:t>
      </w:r>
      <w:r>
        <w:rPr>
          <w:i/>
          <w:spacing w:val="-5"/>
          <w:w w:val="105"/>
          <w:sz w:val="22"/>
        </w:rPr>
        <w:t> </w:t>
      </w:r>
      <w:r>
        <w:rPr>
          <w:i/>
          <w:w w:val="105"/>
          <w:sz w:val="22"/>
        </w:rPr>
        <w:t>della </w:t>
      </w:r>
      <w:r>
        <w:rPr>
          <w:i/>
          <w:w w:val="105"/>
          <w:sz w:val="22"/>
        </w:rPr>
        <w:t>produzione di bioetanolo di seconda generazione richiede la presenza   </w:t>
      </w:r>
      <w:r>
        <w:rPr>
          <w:i/>
          <w:spacing w:val="23"/>
          <w:w w:val="105"/>
          <w:sz w:val="22"/>
        </w:rPr>
        <w:t> </w:t>
      </w:r>
      <w:r>
        <w:rPr>
          <w:i/>
          <w:w w:val="105"/>
          <w:sz w:val="22"/>
        </w:rPr>
        <w:t>e</w:t>
      </w:r>
    </w:p>
    <w:p>
      <w:pPr>
        <w:spacing w:after="0" w:line="465" w:lineRule="auto"/>
        <w:jc w:val="left"/>
        <w:rPr>
          <w:sz w:val="22"/>
        </w:rPr>
        <w:sectPr>
          <w:pgSz w:w="12240" w:h="15840"/>
          <w:pgMar w:header="0" w:footer="790" w:top="1500" w:bottom="980" w:left="1720" w:right="1200"/>
        </w:sectPr>
      </w:pPr>
    </w:p>
    <w:p>
      <w:pPr>
        <w:spacing w:line="491" w:lineRule="auto" w:before="105"/>
        <w:ind w:left="1078" w:right="2732" w:firstLine="0"/>
        <w:jc w:val="both"/>
        <w:rPr>
          <w:i/>
          <w:sz w:val="22"/>
        </w:rPr>
      </w:pPr>
      <w:r>
        <w:rPr>
          <w:i/>
          <w:w w:val="105"/>
          <w:sz w:val="22"/>
        </w:rPr>
        <w:t>l’integrazione di diverse componenti, ciascuna specializzata in una delle </w:t>
      </w:r>
      <w:r>
        <w:rPr>
          <w:i/>
          <w:w w:val="105"/>
          <w:sz w:val="22"/>
        </w:rPr>
        <w:t>funzioni strategiche da coprire per poter raggiungere l’obiettivo prefissato. L’insieme di queste componenti, che svolgono le funzioni di ricerca, sviluppo</w:t>
      </w:r>
      <w:r>
        <w:rPr>
          <w:i/>
          <w:spacing w:val="-17"/>
          <w:w w:val="105"/>
          <w:sz w:val="22"/>
        </w:rPr>
        <w:t> </w:t>
      </w:r>
      <w:r>
        <w:rPr>
          <w:i/>
          <w:w w:val="105"/>
          <w:sz w:val="22"/>
        </w:rPr>
        <w:t>tecnologico,</w:t>
      </w:r>
      <w:r>
        <w:rPr>
          <w:i/>
          <w:spacing w:val="-17"/>
          <w:w w:val="105"/>
          <w:sz w:val="22"/>
        </w:rPr>
        <w:t> </w:t>
      </w:r>
      <w:r>
        <w:rPr>
          <w:i/>
          <w:w w:val="105"/>
          <w:sz w:val="22"/>
        </w:rPr>
        <w:t>ingegnerizzazione,</w:t>
      </w:r>
      <w:r>
        <w:rPr>
          <w:i/>
          <w:spacing w:val="-16"/>
          <w:w w:val="105"/>
          <w:sz w:val="22"/>
        </w:rPr>
        <w:t> </w:t>
      </w:r>
      <w:r>
        <w:rPr>
          <w:i/>
          <w:w w:val="105"/>
          <w:sz w:val="22"/>
        </w:rPr>
        <w:t>dimostrazione</w:t>
      </w:r>
      <w:r>
        <w:rPr>
          <w:i/>
          <w:spacing w:val="-17"/>
          <w:w w:val="105"/>
          <w:sz w:val="22"/>
        </w:rPr>
        <w:t> </w:t>
      </w:r>
      <w:r>
        <w:rPr>
          <w:i/>
          <w:w w:val="105"/>
          <w:sz w:val="22"/>
        </w:rPr>
        <w:t>industriale,</w:t>
      </w:r>
      <w:r>
        <w:rPr>
          <w:i/>
          <w:spacing w:val="-17"/>
          <w:w w:val="105"/>
          <w:sz w:val="22"/>
        </w:rPr>
        <w:t> </w:t>
      </w:r>
      <w:r>
        <w:rPr>
          <w:i/>
          <w:w w:val="105"/>
          <w:sz w:val="22"/>
        </w:rPr>
        <w:t>vendita di prodotti e know-how e pubbliche relazioni, costituisce il cosiddetto “Perimetro Bio”, caratterizzato da un forte legame di unitarietà tecnico- economica.</w:t>
      </w:r>
    </w:p>
    <w:p>
      <w:pPr>
        <w:pStyle w:val="ListParagraph"/>
        <w:numPr>
          <w:ilvl w:val="2"/>
          <w:numId w:val="19"/>
        </w:numPr>
        <w:tabs>
          <w:tab w:pos="1078" w:val="left" w:leader="none"/>
          <w:tab w:pos="1079" w:val="left" w:leader="none"/>
        </w:tabs>
        <w:spacing w:line="240" w:lineRule="auto" w:before="0" w:after="0"/>
        <w:ind w:left="1078" w:right="0" w:hanging="340"/>
        <w:jc w:val="left"/>
        <w:rPr>
          <w:i/>
          <w:sz w:val="22"/>
        </w:rPr>
      </w:pPr>
      <w:r>
        <w:rPr>
          <w:i/>
          <w:w w:val="105"/>
          <w:sz w:val="22"/>
        </w:rPr>
        <w:t>Il</w:t>
      </w:r>
      <w:r>
        <w:rPr>
          <w:i/>
          <w:spacing w:val="-12"/>
          <w:w w:val="105"/>
          <w:sz w:val="22"/>
        </w:rPr>
        <w:t> </w:t>
      </w:r>
      <w:r>
        <w:rPr>
          <w:i/>
          <w:w w:val="105"/>
          <w:sz w:val="22"/>
        </w:rPr>
        <w:t>Perimetro</w:t>
      </w:r>
      <w:r>
        <w:rPr>
          <w:i/>
          <w:spacing w:val="-13"/>
          <w:w w:val="105"/>
          <w:sz w:val="22"/>
        </w:rPr>
        <w:t> </w:t>
      </w:r>
      <w:r>
        <w:rPr>
          <w:i/>
          <w:w w:val="105"/>
          <w:sz w:val="22"/>
        </w:rPr>
        <w:t>Bio</w:t>
      </w:r>
      <w:r>
        <w:rPr>
          <w:i/>
          <w:spacing w:val="-12"/>
          <w:w w:val="105"/>
          <w:sz w:val="22"/>
        </w:rPr>
        <w:t> </w:t>
      </w:r>
      <w:r>
        <w:rPr>
          <w:i/>
          <w:w w:val="105"/>
          <w:sz w:val="22"/>
        </w:rPr>
        <w:t>è</w:t>
      </w:r>
      <w:r>
        <w:rPr>
          <w:i/>
          <w:spacing w:val="-12"/>
          <w:w w:val="105"/>
          <w:sz w:val="22"/>
        </w:rPr>
        <w:t> </w:t>
      </w:r>
      <w:r>
        <w:rPr>
          <w:i/>
          <w:w w:val="105"/>
          <w:sz w:val="22"/>
        </w:rPr>
        <w:t>articolato</w:t>
      </w:r>
      <w:r>
        <w:rPr>
          <w:i/>
          <w:spacing w:val="-11"/>
          <w:w w:val="105"/>
          <w:sz w:val="22"/>
        </w:rPr>
        <w:t> </w:t>
      </w:r>
      <w:r>
        <w:rPr>
          <w:i/>
          <w:w w:val="105"/>
          <w:sz w:val="22"/>
        </w:rPr>
        <w:t>in</w:t>
      </w:r>
      <w:r>
        <w:rPr>
          <w:i/>
          <w:spacing w:val="-12"/>
          <w:w w:val="105"/>
          <w:sz w:val="22"/>
        </w:rPr>
        <w:t> </w:t>
      </w:r>
      <w:r>
        <w:rPr>
          <w:i/>
          <w:w w:val="105"/>
          <w:sz w:val="22"/>
        </w:rPr>
        <w:t>4</w:t>
      </w:r>
      <w:r>
        <w:rPr>
          <w:i/>
          <w:spacing w:val="-12"/>
          <w:w w:val="105"/>
          <w:sz w:val="22"/>
        </w:rPr>
        <w:t> </w:t>
      </w:r>
      <w:r>
        <w:rPr>
          <w:i/>
          <w:w w:val="105"/>
          <w:sz w:val="22"/>
        </w:rPr>
        <w:t>società:</w:t>
      </w:r>
    </w:p>
    <w:p>
      <w:pPr>
        <w:pStyle w:val="BodyText"/>
        <w:spacing w:before="2"/>
        <w:rPr>
          <w:i/>
          <w:sz w:val="23"/>
        </w:rPr>
      </w:pPr>
    </w:p>
    <w:p>
      <w:pPr>
        <w:pStyle w:val="ListParagraph"/>
        <w:numPr>
          <w:ilvl w:val="2"/>
          <w:numId w:val="19"/>
        </w:numPr>
        <w:tabs>
          <w:tab w:pos="1079" w:val="left" w:leader="none"/>
        </w:tabs>
        <w:spacing w:line="487" w:lineRule="auto" w:before="1" w:after="0"/>
        <w:ind w:left="1078" w:right="2734" w:hanging="340"/>
        <w:jc w:val="both"/>
        <w:rPr>
          <w:i/>
          <w:sz w:val="22"/>
        </w:rPr>
      </w:pPr>
      <w:r>
        <w:rPr>
          <w:i/>
          <w:w w:val="105"/>
          <w:sz w:val="22"/>
        </w:rPr>
        <w:t>Biochemtex, società leader a livello globale nello sviluppo e </w:t>
      </w:r>
      <w:r>
        <w:rPr>
          <w:i/>
          <w:w w:val="105"/>
          <w:sz w:val="22"/>
        </w:rPr>
        <w:t>ingegnerizzazione di tecnologie e processi per la valorizzazione di biomasse non alimentari. Biochemtex è il ramo di Ingegneria e Ricerca e Sviluppo di M&amp;G Chemicals, che ha sviluppato le tecnologie Proesa®, per la produzione di bioetanolo di seconda generazione, GREG per la valorizzazione della frazione di emicellulosa in polioli e MOGHI per</w:t>
      </w:r>
      <w:r>
        <w:rPr>
          <w:i/>
          <w:spacing w:val="-38"/>
          <w:w w:val="105"/>
          <w:sz w:val="22"/>
        </w:rPr>
        <w:t> </w:t>
      </w:r>
      <w:r>
        <w:rPr>
          <w:i/>
          <w:w w:val="105"/>
          <w:sz w:val="22"/>
        </w:rPr>
        <w:t>la produzione di un bioreformato da lignina da trattare in raffinerie di petrolio</w:t>
      </w:r>
      <w:r>
        <w:rPr>
          <w:i/>
          <w:spacing w:val="-19"/>
          <w:w w:val="105"/>
          <w:sz w:val="22"/>
        </w:rPr>
        <w:t> </w:t>
      </w:r>
      <w:r>
        <w:rPr>
          <w:i/>
          <w:w w:val="105"/>
          <w:sz w:val="22"/>
        </w:rPr>
        <w:t>per</w:t>
      </w:r>
      <w:r>
        <w:rPr>
          <w:i/>
          <w:spacing w:val="-19"/>
          <w:w w:val="105"/>
          <w:sz w:val="22"/>
        </w:rPr>
        <w:t> </w:t>
      </w:r>
      <w:r>
        <w:rPr>
          <w:i/>
          <w:w w:val="105"/>
          <w:sz w:val="22"/>
        </w:rPr>
        <w:t>il</w:t>
      </w:r>
      <w:r>
        <w:rPr>
          <w:i/>
          <w:spacing w:val="-19"/>
          <w:w w:val="105"/>
          <w:sz w:val="22"/>
        </w:rPr>
        <w:t> </w:t>
      </w:r>
      <w:r>
        <w:rPr>
          <w:i/>
          <w:w w:val="105"/>
          <w:sz w:val="22"/>
        </w:rPr>
        <w:t>successivo</w:t>
      </w:r>
      <w:r>
        <w:rPr>
          <w:i/>
          <w:spacing w:val="-19"/>
          <w:w w:val="105"/>
          <w:sz w:val="22"/>
        </w:rPr>
        <w:t> </w:t>
      </w:r>
      <w:r>
        <w:rPr>
          <w:i/>
          <w:w w:val="105"/>
          <w:sz w:val="22"/>
        </w:rPr>
        <w:t>recupero</w:t>
      </w:r>
      <w:r>
        <w:rPr>
          <w:i/>
          <w:spacing w:val="-19"/>
          <w:w w:val="105"/>
          <w:sz w:val="22"/>
        </w:rPr>
        <w:t> </w:t>
      </w:r>
      <w:r>
        <w:rPr>
          <w:i/>
          <w:w w:val="105"/>
          <w:sz w:val="22"/>
        </w:rPr>
        <w:t>di</w:t>
      </w:r>
      <w:r>
        <w:rPr>
          <w:i/>
          <w:spacing w:val="-19"/>
          <w:w w:val="105"/>
          <w:sz w:val="22"/>
        </w:rPr>
        <w:t> </w:t>
      </w:r>
      <w:r>
        <w:rPr>
          <w:i/>
          <w:w w:val="105"/>
          <w:sz w:val="22"/>
        </w:rPr>
        <w:t>chemicals,</w:t>
      </w:r>
      <w:r>
        <w:rPr>
          <w:i/>
          <w:spacing w:val="-19"/>
          <w:w w:val="105"/>
          <w:sz w:val="22"/>
        </w:rPr>
        <w:t> </w:t>
      </w:r>
      <w:r>
        <w:rPr>
          <w:i/>
          <w:w w:val="105"/>
          <w:sz w:val="22"/>
        </w:rPr>
        <w:t>prevalentemente</w:t>
      </w:r>
      <w:r>
        <w:rPr>
          <w:i/>
          <w:spacing w:val="-19"/>
          <w:w w:val="105"/>
          <w:sz w:val="22"/>
        </w:rPr>
        <w:t> </w:t>
      </w:r>
      <w:r>
        <w:rPr>
          <w:i/>
          <w:w w:val="105"/>
          <w:sz w:val="22"/>
        </w:rPr>
        <w:t>xileni.</w:t>
      </w:r>
    </w:p>
    <w:p>
      <w:pPr>
        <w:pStyle w:val="ListParagraph"/>
        <w:numPr>
          <w:ilvl w:val="2"/>
          <w:numId w:val="19"/>
        </w:numPr>
        <w:tabs>
          <w:tab w:pos="1079" w:val="left" w:leader="none"/>
        </w:tabs>
        <w:spacing w:line="477" w:lineRule="auto" w:before="6" w:after="0"/>
        <w:ind w:left="1078" w:right="2735" w:hanging="340"/>
        <w:jc w:val="both"/>
        <w:rPr>
          <w:i/>
          <w:sz w:val="22"/>
        </w:rPr>
      </w:pPr>
      <w:r>
        <w:rPr>
          <w:i/>
          <w:w w:val="105"/>
          <w:sz w:val="22"/>
        </w:rPr>
        <w:t>Italian Bio Products, l’azienda che gestisce l’impianto di Crescentino per </w:t>
      </w:r>
      <w:r>
        <w:rPr>
          <w:i/>
          <w:w w:val="105"/>
          <w:sz w:val="22"/>
        </w:rPr>
        <w:t>la produzione di biocarburanti di seconda generazione a partire da differenti</w:t>
      </w:r>
      <w:r>
        <w:rPr>
          <w:i/>
          <w:spacing w:val="-22"/>
          <w:w w:val="105"/>
          <w:sz w:val="22"/>
        </w:rPr>
        <w:t> </w:t>
      </w:r>
      <w:r>
        <w:rPr>
          <w:i/>
          <w:w w:val="105"/>
          <w:sz w:val="22"/>
        </w:rPr>
        <w:t>tipologie</w:t>
      </w:r>
      <w:r>
        <w:rPr>
          <w:i/>
          <w:spacing w:val="-23"/>
          <w:w w:val="105"/>
          <w:sz w:val="22"/>
        </w:rPr>
        <w:t> </w:t>
      </w:r>
      <w:r>
        <w:rPr>
          <w:i/>
          <w:w w:val="105"/>
          <w:sz w:val="22"/>
        </w:rPr>
        <w:t>di</w:t>
      </w:r>
      <w:r>
        <w:rPr>
          <w:i/>
          <w:spacing w:val="-23"/>
          <w:w w:val="105"/>
          <w:sz w:val="22"/>
        </w:rPr>
        <w:t> </w:t>
      </w:r>
      <w:r>
        <w:rPr>
          <w:i/>
          <w:w w:val="105"/>
          <w:sz w:val="22"/>
        </w:rPr>
        <w:t>biomasse.</w:t>
      </w:r>
    </w:p>
    <w:p>
      <w:pPr>
        <w:pStyle w:val="ListParagraph"/>
        <w:numPr>
          <w:ilvl w:val="2"/>
          <w:numId w:val="19"/>
        </w:numPr>
        <w:tabs>
          <w:tab w:pos="1079" w:val="left" w:leader="none"/>
        </w:tabs>
        <w:spacing w:line="484" w:lineRule="auto" w:before="14" w:after="0"/>
        <w:ind w:left="1078" w:right="2736" w:hanging="340"/>
        <w:jc w:val="both"/>
        <w:rPr>
          <w:i/>
          <w:sz w:val="22"/>
        </w:rPr>
      </w:pPr>
      <w:r>
        <w:rPr>
          <w:i/>
          <w:w w:val="105"/>
          <w:sz w:val="22"/>
        </w:rPr>
        <w:t>IBP Energia S.r.l., che gestisce, in regime di affitto di ramo di azienda, </w:t>
      </w:r>
      <w:r>
        <w:rPr>
          <w:i/>
          <w:w w:val="105"/>
          <w:sz w:val="22"/>
        </w:rPr>
        <w:t>l’impianto di produzione di energia elettrica a partire direttamente da biomasse e/o lignina, con una caldaia a griglia mobile della potenza termica nominale di circa 48 MWt e potenza elettrica di 13,5 MWe, alimentato con biomasse residuali e con la lignina di scarto  </w:t>
      </w:r>
      <w:r>
        <w:rPr>
          <w:i/>
          <w:spacing w:val="27"/>
          <w:w w:val="105"/>
          <w:sz w:val="22"/>
        </w:rPr>
        <w:t> </w:t>
      </w:r>
      <w:r>
        <w:rPr>
          <w:i/>
          <w:w w:val="105"/>
          <w:sz w:val="22"/>
        </w:rPr>
        <w:t>proveniente</w:t>
      </w:r>
    </w:p>
    <w:p>
      <w:pPr>
        <w:spacing w:after="0" w:line="484" w:lineRule="auto"/>
        <w:jc w:val="both"/>
        <w:rPr>
          <w:sz w:val="22"/>
        </w:rPr>
        <w:sectPr>
          <w:pgSz w:w="12240" w:h="15840"/>
          <w:pgMar w:header="0" w:footer="790" w:top="1500" w:bottom="980" w:left="1720" w:right="1200"/>
        </w:sectPr>
      </w:pPr>
    </w:p>
    <w:p>
      <w:pPr>
        <w:spacing w:before="105"/>
        <w:ind w:left="1078" w:right="0" w:firstLine="0"/>
        <w:jc w:val="both"/>
        <w:rPr>
          <w:i/>
          <w:sz w:val="22"/>
        </w:rPr>
      </w:pPr>
      <w:r>
        <w:rPr>
          <w:i/>
          <w:w w:val="105"/>
          <w:sz w:val="22"/>
        </w:rPr>
        <w:t>dall’impianto di produzione di bioetanolo.</w:t>
      </w:r>
    </w:p>
    <w:p>
      <w:pPr>
        <w:pStyle w:val="BodyText"/>
        <w:spacing w:before="1"/>
        <w:rPr>
          <w:i/>
          <w:sz w:val="23"/>
        </w:rPr>
      </w:pPr>
    </w:p>
    <w:p>
      <w:pPr>
        <w:pStyle w:val="ListParagraph"/>
        <w:numPr>
          <w:ilvl w:val="2"/>
          <w:numId w:val="19"/>
        </w:numPr>
        <w:tabs>
          <w:tab w:pos="1079" w:val="left" w:leader="none"/>
        </w:tabs>
        <w:spacing w:line="487" w:lineRule="auto" w:before="0" w:after="0"/>
        <w:ind w:left="1078" w:right="2734" w:hanging="340"/>
        <w:jc w:val="both"/>
        <w:rPr>
          <w:i/>
          <w:sz w:val="22"/>
        </w:rPr>
      </w:pPr>
      <w:r>
        <w:rPr>
          <w:i/>
          <w:w w:val="105"/>
          <w:sz w:val="22"/>
        </w:rPr>
        <w:t>Beta Renewables, una joint venture fondata nel 2011 e costituita da </w:t>
      </w:r>
      <w:r>
        <w:rPr>
          <w:i/>
          <w:w w:val="105"/>
          <w:sz w:val="22"/>
        </w:rPr>
        <w:t>Biochemtex (azionista di controllo), dal fondo di private equity statunitense TPG e Novozymes, azienda danese leader nella produzione di enzimi. Beta Renewables ha realizzato tecnologie e impianti per la produzione di bioetanolo ed altri prodotti chimici e gestisce il portafoglio brevetti e tecnologie afferenti al processo utilizzato nello stabilimento di Crescentino.</w:t>
      </w:r>
    </w:p>
    <w:p>
      <w:pPr>
        <w:pStyle w:val="ListParagraph"/>
        <w:numPr>
          <w:ilvl w:val="2"/>
          <w:numId w:val="19"/>
        </w:numPr>
        <w:tabs>
          <w:tab w:pos="1079" w:val="left" w:leader="none"/>
        </w:tabs>
        <w:spacing w:line="487" w:lineRule="auto" w:before="5" w:after="0"/>
        <w:ind w:left="1078" w:right="2732" w:hanging="340"/>
        <w:jc w:val="both"/>
        <w:rPr>
          <w:i/>
          <w:sz w:val="22"/>
        </w:rPr>
      </w:pPr>
      <w:r>
        <w:rPr>
          <w:i/>
          <w:w w:val="105"/>
          <w:sz w:val="22"/>
        </w:rPr>
        <w:t>I brevetti ottenuti in Italia dalle società del Perimetro Bio coprono le </w:t>
      </w:r>
      <w:r>
        <w:rPr>
          <w:i/>
          <w:w w:val="105"/>
          <w:sz w:val="22"/>
        </w:rPr>
        <w:t>sezioni di pretrattamento della biomassa e produzione degli zuccheri di seconda generazione. Beta Renewables detiene esclusivamente brevetti relativi alla tecnologia PROESA e non possiede brevetti relativi alla produzione di enzimi perché questi vengono forniti all’impianto di Crescentino da Novozymes. Beta Renewables non possiede brevetti sulle tecnologie GREG e MOGHI, che risultano invece in possesso di Biochemtex. Beta Renewables e l’Impianto produttivo sono legati  </w:t>
      </w:r>
      <w:r>
        <w:rPr>
          <w:i/>
          <w:spacing w:val="27"/>
          <w:w w:val="105"/>
          <w:sz w:val="22"/>
        </w:rPr>
        <w:t> </w:t>
      </w:r>
      <w:r>
        <w:rPr>
          <w:i/>
          <w:w w:val="105"/>
          <w:sz w:val="22"/>
        </w:rPr>
        <w:t>dalle</w:t>
      </w:r>
    </w:p>
    <w:p>
      <w:pPr>
        <w:spacing w:line="491" w:lineRule="auto" w:before="6"/>
        <w:ind w:left="1078" w:right="2736" w:firstLine="0"/>
        <w:jc w:val="both"/>
        <w:rPr>
          <w:i/>
          <w:sz w:val="22"/>
        </w:rPr>
      </w:pPr>
      <w:r>
        <w:rPr>
          <w:i/>
          <w:w w:val="105"/>
          <w:sz w:val="22"/>
        </w:rPr>
        <w:t>licenze di proprietà. Biochemtex non possiede licenze su PROESA, ma </w:t>
      </w:r>
      <w:r>
        <w:rPr>
          <w:i/>
          <w:w w:val="105"/>
          <w:sz w:val="22"/>
        </w:rPr>
        <w:t>cura gli aspetti di sviluppo di nuova ricerca e progettazione ingegneristica degli impianti.»</w:t>
      </w:r>
    </w:p>
    <w:p>
      <w:pPr>
        <w:pStyle w:val="BodyText"/>
        <w:spacing w:line="491" w:lineRule="auto" w:before="1"/>
        <w:ind w:left="400" w:right="2196"/>
        <w:jc w:val="both"/>
      </w:pPr>
      <w:r>
        <w:rPr>
          <w:w w:val="105"/>
        </w:rPr>
        <w:t>La struttura del Piano e della Proposta., impone alcune preliminari considerazioni.</w:t>
      </w:r>
    </w:p>
    <w:p>
      <w:pPr>
        <w:spacing w:line="491" w:lineRule="auto" w:before="0"/>
        <w:ind w:left="400" w:right="2196" w:firstLine="0"/>
        <w:jc w:val="both"/>
        <w:rPr>
          <w:i/>
          <w:sz w:val="22"/>
        </w:rPr>
      </w:pPr>
      <w:r>
        <w:rPr>
          <w:w w:val="105"/>
          <w:sz w:val="22"/>
        </w:rPr>
        <w:t>A</w:t>
      </w:r>
      <w:r>
        <w:rPr>
          <w:spacing w:val="-4"/>
          <w:w w:val="105"/>
          <w:sz w:val="22"/>
        </w:rPr>
        <w:t> </w:t>
      </w:r>
      <w:r>
        <w:rPr>
          <w:w w:val="105"/>
          <w:sz w:val="22"/>
        </w:rPr>
        <w:t>seguito</w:t>
      </w:r>
      <w:r>
        <w:rPr>
          <w:spacing w:val="-4"/>
          <w:w w:val="105"/>
          <w:sz w:val="22"/>
        </w:rPr>
        <w:t> </w:t>
      </w:r>
      <w:r>
        <w:rPr>
          <w:w w:val="105"/>
          <w:sz w:val="22"/>
        </w:rPr>
        <w:t>dell’entrata</w:t>
      </w:r>
      <w:r>
        <w:rPr>
          <w:spacing w:val="-4"/>
          <w:w w:val="105"/>
          <w:sz w:val="22"/>
        </w:rPr>
        <w:t> </w:t>
      </w:r>
      <w:r>
        <w:rPr>
          <w:w w:val="105"/>
          <w:sz w:val="22"/>
        </w:rPr>
        <w:t>in</w:t>
      </w:r>
      <w:r>
        <w:rPr>
          <w:spacing w:val="-4"/>
          <w:w w:val="105"/>
          <w:sz w:val="22"/>
        </w:rPr>
        <w:t> </w:t>
      </w:r>
      <w:r>
        <w:rPr>
          <w:w w:val="105"/>
          <w:sz w:val="22"/>
        </w:rPr>
        <w:t>vigore</w:t>
      </w:r>
      <w:r>
        <w:rPr>
          <w:spacing w:val="-5"/>
          <w:w w:val="105"/>
          <w:sz w:val="22"/>
        </w:rPr>
        <w:t> </w:t>
      </w:r>
      <w:r>
        <w:rPr>
          <w:w w:val="105"/>
          <w:sz w:val="22"/>
        </w:rPr>
        <w:t>della</w:t>
      </w:r>
      <w:r>
        <w:rPr>
          <w:spacing w:val="-6"/>
          <w:w w:val="105"/>
          <w:sz w:val="22"/>
        </w:rPr>
        <w:t> </w:t>
      </w:r>
      <w:r>
        <w:rPr>
          <w:w w:val="105"/>
          <w:sz w:val="22"/>
        </w:rPr>
        <w:t>Legge</w:t>
      </w:r>
      <w:r>
        <w:rPr>
          <w:spacing w:val="-4"/>
          <w:w w:val="105"/>
          <w:sz w:val="22"/>
        </w:rPr>
        <w:t> </w:t>
      </w:r>
      <w:r>
        <w:rPr>
          <w:w w:val="105"/>
          <w:sz w:val="22"/>
        </w:rPr>
        <w:t>6</w:t>
      </w:r>
      <w:r>
        <w:rPr>
          <w:spacing w:val="-6"/>
          <w:w w:val="105"/>
          <w:sz w:val="22"/>
        </w:rPr>
        <w:t> </w:t>
      </w:r>
      <w:r>
        <w:rPr>
          <w:w w:val="105"/>
          <w:sz w:val="22"/>
        </w:rPr>
        <w:t>agosto</w:t>
      </w:r>
      <w:r>
        <w:rPr>
          <w:spacing w:val="-6"/>
          <w:w w:val="105"/>
          <w:sz w:val="22"/>
        </w:rPr>
        <w:t> </w:t>
      </w:r>
      <w:r>
        <w:rPr>
          <w:w w:val="105"/>
          <w:sz w:val="22"/>
        </w:rPr>
        <w:t>2015,</w:t>
      </w:r>
      <w:r>
        <w:rPr>
          <w:spacing w:val="-5"/>
          <w:w w:val="105"/>
          <w:sz w:val="22"/>
        </w:rPr>
        <w:t> </w:t>
      </w:r>
      <w:r>
        <w:rPr>
          <w:w w:val="105"/>
          <w:sz w:val="22"/>
        </w:rPr>
        <w:t>che</w:t>
      </w:r>
      <w:r>
        <w:rPr>
          <w:spacing w:val="-7"/>
          <w:w w:val="105"/>
          <w:sz w:val="22"/>
        </w:rPr>
        <w:t> </w:t>
      </w:r>
      <w:r>
        <w:rPr>
          <w:w w:val="105"/>
          <w:sz w:val="22"/>
        </w:rPr>
        <w:t>ha</w:t>
      </w:r>
      <w:r>
        <w:rPr>
          <w:spacing w:val="-6"/>
          <w:w w:val="105"/>
          <w:sz w:val="22"/>
        </w:rPr>
        <w:t> </w:t>
      </w:r>
      <w:r>
        <w:rPr>
          <w:w w:val="105"/>
          <w:sz w:val="22"/>
        </w:rPr>
        <w:t>convertito il D.L. 27 giugno 2015, n. 83, la proposta di concordato preventivo avente natura liquidatoria deve   </w:t>
      </w:r>
      <w:r>
        <w:rPr>
          <w:spacing w:val="47"/>
          <w:w w:val="105"/>
          <w:sz w:val="22"/>
        </w:rPr>
        <w:t> </w:t>
      </w:r>
      <w:r>
        <w:rPr>
          <w:w w:val="105"/>
          <w:sz w:val="22"/>
        </w:rPr>
        <w:t>ora “</w:t>
      </w:r>
      <w:r>
        <w:rPr>
          <w:i/>
          <w:w w:val="105"/>
          <w:sz w:val="22"/>
        </w:rPr>
        <w:t>assicurare il pagamento di almeno il venti per cento</w:t>
      </w:r>
    </w:p>
    <w:p>
      <w:pPr>
        <w:spacing w:after="0" w:line="491" w:lineRule="auto"/>
        <w:jc w:val="both"/>
        <w:rPr>
          <w:sz w:val="22"/>
        </w:rPr>
        <w:sectPr>
          <w:pgSz w:w="12240" w:h="15840"/>
          <w:pgMar w:header="0" w:footer="790" w:top="1500" w:bottom="980" w:left="1720" w:right="1200"/>
        </w:sectPr>
      </w:pPr>
    </w:p>
    <w:p>
      <w:pPr>
        <w:spacing w:before="105"/>
        <w:ind w:left="400" w:right="0" w:firstLine="0"/>
        <w:jc w:val="both"/>
        <w:rPr>
          <w:sz w:val="22"/>
        </w:rPr>
      </w:pPr>
      <w:r>
        <w:rPr>
          <w:i/>
          <w:w w:val="105"/>
          <w:sz w:val="22"/>
        </w:rPr>
        <w:t>dell’ammontare dei crediti chirografari</w:t>
      </w:r>
      <w:r>
        <w:rPr>
          <w:w w:val="105"/>
          <w:sz w:val="22"/>
        </w:rPr>
        <w:t>” (art. 160, ult. comma., legge fall.).</w:t>
      </w:r>
    </w:p>
    <w:p>
      <w:pPr>
        <w:pStyle w:val="BodyText"/>
        <w:spacing w:before="10"/>
        <w:rPr>
          <w:sz w:val="21"/>
        </w:rPr>
      </w:pPr>
    </w:p>
    <w:p>
      <w:pPr>
        <w:pStyle w:val="BodyText"/>
        <w:spacing w:line="491" w:lineRule="auto" w:before="1"/>
        <w:ind w:left="400" w:right="2196"/>
        <w:jc w:val="both"/>
      </w:pPr>
      <w:r>
        <w:rPr>
          <w:w w:val="105"/>
        </w:rPr>
        <w:t>Tra i primi autorevoli commenti in dottrina </w:t>
      </w:r>
      <w:r>
        <w:rPr>
          <w:w w:val="105"/>
          <w:position w:val="9"/>
          <w:sz w:val="13"/>
        </w:rPr>
        <w:t>6 </w:t>
      </w:r>
      <w:r>
        <w:rPr>
          <w:w w:val="105"/>
        </w:rPr>
        <w:t>e giurisprudenza </w:t>
      </w:r>
      <w:r>
        <w:rPr>
          <w:w w:val="105"/>
          <w:position w:val="9"/>
          <w:sz w:val="13"/>
        </w:rPr>
        <w:t>7 </w:t>
      </w:r>
      <w:r>
        <w:rPr>
          <w:w w:val="105"/>
        </w:rPr>
        <w:t>, è stato sostenuto che il termine “</w:t>
      </w:r>
      <w:r>
        <w:rPr>
          <w:i/>
          <w:w w:val="105"/>
        </w:rPr>
        <w:t>assicurare</w:t>
      </w:r>
      <w:r>
        <w:rPr>
          <w:w w:val="105"/>
        </w:rPr>
        <w:t>” introdotto di recente dal legislatore presuppone un grado di certezza che, pur essendo per sua natura relativo - trattandosi di valutazioni prognostiche -, è del tutto estraneo alla sfera delle mere previsioni probabilistiche, dovendo per contro collocarsi nel terreno della ragionevole ed elevata probabilità di assicurare il pagamento di (almeno) il 20% del complessivo monte crediti annoverato al chirografo.</w:t>
      </w:r>
    </w:p>
    <w:p>
      <w:pPr>
        <w:spacing w:line="491" w:lineRule="auto" w:before="0"/>
        <w:ind w:left="400" w:right="2195" w:firstLine="0"/>
        <w:jc w:val="both"/>
        <w:rPr>
          <w:sz w:val="22"/>
        </w:rPr>
      </w:pPr>
      <w:r>
        <w:rPr>
          <w:w w:val="105"/>
          <w:sz w:val="22"/>
        </w:rPr>
        <w:t>Per</w:t>
      </w:r>
      <w:r>
        <w:rPr>
          <w:spacing w:val="-6"/>
          <w:w w:val="105"/>
          <w:sz w:val="22"/>
        </w:rPr>
        <w:t> </w:t>
      </w:r>
      <w:r>
        <w:rPr>
          <w:w w:val="105"/>
          <w:sz w:val="22"/>
        </w:rPr>
        <w:t>contro,</w:t>
      </w:r>
      <w:r>
        <w:rPr>
          <w:spacing w:val="-7"/>
          <w:w w:val="105"/>
          <w:sz w:val="22"/>
        </w:rPr>
        <w:t> </w:t>
      </w:r>
      <w:r>
        <w:rPr>
          <w:w w:val="105"/>
          <w:sz w:val="22"/>
        </w:rPr>
        <w:t>le</w:t>
      </w:r>
      <w:r>
        <w:rPr>
          <w:spacing w:val="-6"/>
          <w:w w:val="105"/>
          <w:sz w:val="22"/>
        </w:rPr>
        <w:t> </w:t>
      </w:r>
      <w:r>
        <w:rPr>
          <w:w w:val="105"/>
          <w:sz w:val="22"/>
        </w:rPr>
        <w:t>“</w:t>
      </w:r>
      <w:r>
        <w:rPr>
          <w:i/>
          <w:w w:val="105"/>
          <w:sz w:val="22"/>
        </w:rPr>
        <w:t>Linee</w:t>
      </w:r>
      <w:r>
        <w:rPr>
          <w:i/>
          <w:spacing w:val="-14"/>
          <w:w w:val="105"/>
          <w:sz w:val="22"/>
        </w:rPr>
        <w:t> </w:t>
      </w:r>
      <w:r>
        <w:rPr>
          <w:i/>
          <w:w w:val="105"/>
          <w:sz w:val="22"/>
        </w:rPr>
        <w:t>Guida</w:t>
      </w:r>
      <w:r>
        <w:rPr>
          <w:i/>
          <w:spacing w:val="-15"/>
          <w:w w:val="105"/>
          <w:sz w:val="22"/>
        </w:rPr>
        <w:t> </w:t>
      </w:r>
      <w:r>
        <w:rPr>
          <w:i/>
          <w:w w:val="105"/>
          <w:sz w:val="22"/>
        </w:rPr>
        <w:t>interpretative</w:t>
      </w:r>
      <w:r>
        <w:rPr>
          <w:i/>
          <w:spacing w:val="-15"/>
          <w:w w:val="105"/>
          <w:sz w:val="22"/>
        </w:rPr>
        <w:t> </w:t>
      </w:r>
      <w:r>
        <w:rPr>
          <w:i/>
          <w:w w:val="105"/>
          <w:sz w:val="22"/>
        </w:rPr>
        <w:t>su</w:t>
      </w:r>
      <w:r>
        <w:rPr>
          <w:i/>
          <w:spacing w:val="-15"/>
          <w:w w:val="105"/>
          <w:sz w:val="22"/>
        </w:rPr>
        <w:t> </w:t>
      </w:r>
      <w:r>
        <w:rPr>
          <w:i/>
          <w:w w:val="105"/>
          <w:sz w:val="22"/>
        </w:rPr>
        <w:t>alcuni</w:t>
      </w:r>
      <w:r>
        <w:rPr>
          <w:i/>
          <w:spacing w:val="-15"/>
          <w:w w:val="105"/>
          <w:sz w:val="22"/>
        </w:rPr>
        <w:t> </w:t>
      </w:r>
      <w:r>
        <w:rPr>
          <w:i/>
          <w:w w:val="105"/>
          <w:sz w:val="22"/>
        </w:rPr>
        <w:t>profili</w:t>
      </w:r>
      <w:r>
        <w:rPr>
          <w:i/>
          <w:spacing w:val="-15"/>
          <w:w w:val="105"/>
          <w:sz w:val="22"/>
        </w:rPr>
        <w:t> </w:t>
      </w:r>
      <w:r>
        <w:rPr>
          <w:i/>
          <w:w w:val="105"/>
          <w:sz w:val="22"/>
        </w:rPr>
        <w:t>della</w:t>
      </w:r>
      <w:r>
        <w:rPr>
          <w:i/>
          <w:spacing w:val="-16"/>
          <w:w w:val="105"/>
          <w:sz w:val="22"/>
        </w:rPr>
        <w:t> </w:t>
      </w:r>
      <w:r>
        <w:rPr>
          <w:i/>
          <w:w w:val="105"/>
          <w:sz w:val="22"/>
        </w:rPr>
        <w:t>legge</w:t>
      </w:r>
      <w:r>
        <w:rPr>
          <w:i/>
          <w:spacing w:val="-18"/>
          <w:w w:val="105"/>
          <w:sz w:val="22"/>
        </w:rPr>
        <w:t> </w:t>
      </w:r>
      <w:r>
        <w:rPr>
          <w:i/>
          <w:w w:val="105"/>
          <w:sz w:val="22"/>
        </w:rPr>
        <w:t>132/2015”</w:t>
      </w:r>
      <w:r>
        <w:rPr>
          <w:w w:val="105"/>
          <w:position w:val="9"/>
          <w:sz w:val="13"/>
        </w:rPr>
        <w:t>8</w:t>
      </w:r>
      <w:r>
        <w:rPr>
          <w:spacing w:val="-10"/>
          <w:w w:val="105"/>
          <w:position w:val="9"/>
          <w:sz w:val="13"/>
        </w:rPr>
        <w:t> </w:t>
      </w:r>
      <w:r>
        <w:rPr>
          <w:w w:val="105"/>
          <w:sz w:val="22"/>
        </w:rPr>
        <w:t>(di seguito, le “</w:t>
      </w:r>
      <w:r>
        <w:rPr>
          <w:b/>
          <w:w w:val="105"/>
          <w:sz w:val="22"/>
        </w:rPr>
        <w:t>Linee Guida Interpretative</w:t>
      </w:r>
      <w:r>
        <w:rPr>
          <w:w w:val="105"/>
          <w:sz w:val="22"/>
        </w:rPr>
        <w:t>”) licenziate da autorevoli Giudici Delegati, anche dei fori piemontesi hanno affermato più rigorosi principi, vale a dire che:</w:t>
      </w:r>
      <w:r>
        <w:rPr>
          <w:spacing w:val="-38"/>
          <w:w w:val="105"/>
          <w:sz w:val="22"/>
        </w:rPr>
        <w:t> </w:t>
      </w:r>
      <w:r>
        <w:rPr>
          <w:w w:val="105"/>
          <w:sz w:val="22"/>
        </w:rPr>
        <w:t>:</w:t>
      </w:r>
    </w:p>
    <w:p>
      <w:pPr>
        <w:pStyle w:val="ListParagraph"/>
        <w:numPr>
          <w:ilvl w:val="0"/>
          <w:numId w:val="20"/>
        </w:numPr>
        <w:tabs>
          <w:tab w:pos="1079" w:val="left" w:leader="none"/>
        </w:tabs>
        <w:spacing w:line="477" w:lineRule="auto" w:before="13" w:after="0"/>
        <w:ind w:left="1078" w:right="2197" w:hanging="340"/>
        <w:jc w:val="both"/>
        <w:rPr>
          <w:sz w:val="22"/>
        </w:rPr>
      </w:pPr>
      <w:r>
        <w:rPr>
          <w:w w:val="105"/>
          <w:sz w:val="22"/>
        </w:rPr>
        <w:t>“</w:t>
      </w:r>
      <w:r>
        <w:rPr>
          <w:i/>
          <w:w w:val="105"/>
          <w:sz w:val="22"/>
        </w:rPr>
        <w:t>la proposta deve indicare quale sia l’attribuzione patrimoniale destinata a </w:t>
      </w:r>
      <w:r>
        <w:rPr>
          <w:i/>
          <w:w w:val="105"/>
          <w:sz w:val="22"/>
        </w:rPr>
        <w:t>ciascun</w:t>
      </w:r>
      <w:r>
        <w:rPr>
          <w:i/>
          <w:spacing w:val="-19"/>
          <w:w w:val="105"/>
          <w:sz w:val="22"/>
        </w:rPr>
        <w:t> </w:t>
      </w:r>
      <w:r>
        <w:rPr>
          <w:i/>
          <w:w w:val="105"/>
          <w:sz w:val="22"/>
        </w:rPr>
        <w:t>creditore</w:t>
      </w:r>
      <w:r>
        <w:rPr>
          <w:i/>
          <w:spacing w:val="-19"/>
          <w:w w:val="105"/>
          <w:sz w:val="22"/>
        </w:rPr>
        <w:t> </w:t>
      </w:r>
      <w:r>
        <w:rPr>
          <w:i/>
          <w:w w:val="105"/>
          <w:sz w:val="22"/>
        </w:rPr>
        <w:t>o</w:t>
      </w:r>
      <w:r>
        <w:rPr>
          <w:i/>
          <w:spacing w:val="-19"/>
          <w:w w:val="105"/>
          <w:sz w:val="22"/>
        </w:rPr>
        <w:t> </w:t>
      </w:r>
      <w:r>
        <w:rPr>
          <w:i/>
          <w:w w:val="105"/>
          <w:sz w:val="22"/>
        </w:rPr>
        <w:t>classe</w:t>
      </w:r>
      <w:r>
        <w:rPr>
          <w:i/>
          <w:spacing w:val="-19"/>
          <w:w w:val="105"/>
          <w:sz w:val="22"/>
        </w:rPr>
        <w:t> </w:t>
      </w:r>
      <w:r>
        <w:rPr>
          <w:i/>
          <w:w w:val="105"/>
          <w:sz w:val="22"/>
        </w:rPr>
        <w:t>di</w:t>
      </w:r>
      <w:r>
        <w:rPr>
          <w:i/>
          <w:spacing w:val="-19"/>
          <w:w w:val="105"/>
          <w:sz w:val="22"/>
        </w:rPr>
        <w:t> </w:t>
      </w:r>
      <w:r>
        <w:rPr>
          <w:i/>
          <w:w w:val="105"/>
          <w:sz w:val="22"/>
        </w:rPr>
        <w:t>creditori</w:t>
      </w:r>
      <w:r>
        <w:rPr>
          <w:w w:val="105"/>
          <w:sz w:val="22"/>
        </w:rPr>
        <w:t>”;</w:t>
      </w:r>
    </w:p>
    <w:p>
      <w:pPr>
        <w:pStyle w:val="ListParagraph"/>
        <w:numPr>
          <w:ilvl w:val="0"/>
          <w:numId w:val="20"/>
        </w:numPr>
        <w:tabs>
          <w:tab w:pos="1079" w:val="left" w:leader="none"/>
        </w:tabs>
        <w:spacing w:line="477" w:lineRule="auto" w:before="14" w:after="0"/>
        <w:ind w:left="1078" w:right="2197" w:hanging="340"/>
        <w:jc w:val="both"/>
        <w:rPr>
          <w:sz w:val="22"/>
        </w:rPr>
      </w:pPr>
      <w:r>
        <w:rPr>
          <w:w w:val="105"/>
          <w:sz w:val="22"/>
        </w:rPr>
        <w:t>“</w:t>
      </w:r>
      <w:r>
        <w:rPr>
          <w:i/>
          <w:w w:val="105"/>
          <w:sz w:val="22"/>
        </w:rPr>
        <w:t>la proposta deve contenere un obbligo ad assicurare e non solo prospettare </w:t>
      </w:r>
      <w:r>
        <w:rPr>
          <w:i/>
          <w:w w:val="105"/>
          <w:sz w:val="22"/>
        </w:rPr>
        <w:t>l’utilità</w:t>
      </w:r>
      <w:r>
        <w:rPr>
          <w:i/>
          <w:spacing w:val="-23"/>
          <w:w w:val="105"/>
          <w:sz w:val="22"/>
        </w:rPr>
        <w:t> </w:t>
      </w:r>
      <w:r>
        <w:rPr>
          <w:i/>
          <w:w w:val="105"/>
          <w:sz w:val="22"/>
        </w:rPr>
        <w:t>promessa</w:t>
      </w:r>
      <w:r>
        <w:rPr>
          <w:i/>
          <w:spacing w:val="-21"/>
          <w:w w:val="105"/>
          <w:sz w:val="22"/>
        </w:rPr>
        <w:t> </w:t>
      </w:r>
      <w:r>
        <w:rPr>
          <w:i/>
          <w:w w:val="105"/>
          <w:sz w:val="22"/>
        </w:rPr>
        <w:t>ai</w:t>
      </w:r>
      <w:r>
        <w:rPr>
          <w:i/>
          <w:spacing w:val="-22"/>
          <w:w w:val="105"/>
          <w:sz w:val="22"/>
        </w:rPr>
        <w:t> </w:t>
      </w:r>
      <w:r>
        <w:rPr>
          <w:i/>
          <w:w w:val="105"/>
          <w:sz w:val="22"/>
        </w:rPr>
        <w:t>creditori</w:t>
      </w:r>
      <w:r>
        <w:rPr>
          <w:w w:val="105"/>
          <w:sz w:val="22"/>
        </w:rPr>
        <w:t>”;</w:t>
      </w:r>
    </w:p>
    <w:p>
      <w:pPr>
        <w:pStyle w:val="ListParagraph"/>
        <w:numPr>
          <w:ilvl w:val="0"/>
          <w:numId w:val="20"/>
        </w:numPr>
        <w:tabs>
          <w:tab w:pos="1079" w:val="left" w:leader="none"/>
        </w:tabs>
        <w:spacing w:line="487" w:lineRule="auto" w:before="14" w:after="0"/>
        <w:ind w:left="1078" w:right="2196" w:hanging="340"/>
        <w:jc w:val="both"/>
        <w:rPr>
          <w:sz w:val="22"/>
        </w:rPr>
      </w:pPr>
      <w:r>
        <w:rPr>
          <w:w w:val="105"/>
          <w:sz w:val="22"/>
        </w:rPr>
        <w:t>“</w:t>
      </w:r>
      <w:r>
        <w:rPr>
          <w:i/>
          <w:w w:val="105"/>
          <w:sz w:val="22"/>
        </w:rPr>
        <w:t>nella proposta il debitore si deve obbligare al pagamento monetario </w:t>
      </w:r>
      <w:r>
        <w:rPr>
          <w:i/>
          <w:w w:val="105"/>
          <w:sz w:val="22"/>
        </w:rPr>
        <w:t>dell’ammontare del 20% dei crediti chirografari, non essendo consentita la loro soddisfazione</w:t>
      </w:r>
      <w:r>
        <w:rPr>
          <w:i/>
          <w:spacing w:val="-9"/>
          <w:w w:val="105"/>
          <w:sz w:val="22"/>
        </w:rPr>
        <w:t> </w:t>
      </w:r>
      <w:r>
        <w:rPr>
          <w:i/>
          <w:w w:val="105"/>
          <w:sz w:val="22"/>
        </w:rPr>
        <w:t>in</w:t>
      </w:r>
      <w:r>
        <w:rPr>
          <w:i/>
          <w:spacing w:val="-9"/>
          <w:w w:val="105"/>
          <w:sz w:val="22"/>
        </w:rPr>
        <w:t> </w:t>
      </w:r>
      <w:r>
        <w:rPr>
          <w:i/>
          <w:w w:val="105"/>
          <w:sz w:val="22"/>
        </w:rPr>
        <w:t>altro</w:t>
      </w:r>
      <w:r>
        <w:rPr>
          <w:i/>
          <w:spacing w:val="-8"/>
          <w:w w:val="105"/>
          <w:sz w:val="22"/>
        </w:rPr>
        <w:t> </w:t>
      </w:r>
      <w:r>
        <w:rPr>
          <w:i/>
          <w:w w:val="105"/>
          <w:sz w:val="22"/>
        </w:rPr>
        <w:t>modo:</w:t>
      </w:r>
      <w:r>
        <w:rPr>
          <w:i/>
          <w:spacing w:val="-8"/>
          <w:w w:val="105"/>
          <w:sz w:val="22"/>
        </w:rPr>
        <w:t> </w:t>
      </w:r>
      <w:r>
        <w:rPr>
          <w:i/>
          <w:w w:val="105"/>
          <w:sz w:val="22"/>
        </w:rPr>
        <w:t>la</w:t>
      </w:r>
      <w:r>
        <w:rPr>
          <w:i/>
          <w:spacing w:val="-8"/>
          <w:w w:val="105"/>
          <w:sz w:val="22"/>
        </w:rPr>
        <w:t> </w:t>
      </w:r>
      <w:r>
        <w:rPr>
          <w:i/>
          <w:w w:val="105"/>
          <w:sz w:val="22"/>
        </w:rPr>
        <w:t>regola</w:t>
      </w:r>
      <w:r>
        <w:rPr>
          <w:i/>
          <w:spacing w:val="-8"/>
          <w:w w:val="105"/>
          <w:sz w:val="22"/>
        </w:rPr>
        <w:t> </w:t>
      </w:r>
      <w:r>
        <w:rPr>
          <w:i/>
          <w:w w:val="105"/>
          <w:sz w:val="22"/>
        </w:rPr>
        <w:t>non</w:t>
      </w:r>
      <w:r>
        <w:rPr>
          <w:i/>
          <w:spacing w:val="-8"/>
          <w:w w:val="105"/>
          <w:sz w:val="22"/>
        </w:rPr>
        <w:t> </w:t>
      </w:r>
      <w:r>
        <w:rPr>
          <w:i/>
          <w:w w:val="105"/>
          <w:sz w:val="22"/>
        </w:rPr>
        <w:t>si</w:t>
      </w:r>
      <w:r>
        <w:rPr>
          <w:i/>
          <w:spacing w:val="-8"/>
          <w:w w:val="105"/>
          <w:sz w:val="22"/>
        </w:rPr>
        <w:t> </w:t>
      </w:r>
      <w:r>
        <w:rPr>
          <w:i/>
          <w:w w:val="105"/>
          <w:sz w:val="22"/>
        </w:rPr>
        <w:t>applica</w:t>
      </w:r>
      <w:r>
        <w:rPr>
          <w:i/>
          <w:spacing w:val="-8"/>
          <w:w w:val="105"/>
          <w:sz w:val="22"/>
        </w:rPr>
        <w:t> </w:t>
      </w:r>
      <w:r>
        <w:rPr>
          <w:i/>
          <w:w w:val="105"/>
          <w:sz w:val="22"/>
        </w:rPr>
        <w:t>al</w:t>
      </w:r>
      <w:r>
        <w:rPr>
          <w:i/>
          <w:spacing w:val="-8"/>
          <w:w w:val="105"/>
          <w:sz w:val="22"/>
        </w:rPr>
        <w:t> </w:t>
      </w:r>
      <w:r>
        <w:rPr>
          <w:i/>
          <w:w w:val="105"/>
          <w:sz w:val="22"/>
        </w:rPr>
        <w:t>concordato</w:t>
      </w:r>
      <w:r>
        <w:rPr>
          <w:i/>
          <w:spacing w:val="-9"/>
          <w:w w:val="105"/>
          <w:sz w:val="22"/>
        </w:rPr>
        <w:t> </w:t>
      </w:r>
      <w:r>
        <w:rPr>
          <w:i/>
          <w:w w:val="105"/>
          <w:sz w:val="22"/>
        </w:rPr>
        <w:t>con</w:t>
      </w:r>
      <w:r>
        <w:rPr>
          <w:i/>
          <w:spacing w:val="-8"/>
          <w:w w:val="105"/>
          <w:sz w:val="22"/>
        </w:rPr>
        <w:t> </w:t>
      </w:r>
      <w:r>
        <w:rPr>
          <w:i/>
          <w:w w:val="105"/>
          <w:sz w:val="22"/>
        </w:rPr>
        <w:t>continuità aziendale,</w:t>
      </w:r>
      <w:r>
        <w:rPr>
          <w:i/>
          <w:spacing w:val="-14"/>
          <w:w w:val="105"/>
          <w:sz w:val="22"/>
        </w:rPr>
        <w:t> </w:t>
      </w:r>
      <w:r>
        <w:rPr>
          <w:i/>
          <w:w w:val="105"/>
          <w:sz w:val="22"/>
        </w:rPr>
        <w:t>in</w:t>
      </w:r>
      <w:r>
        <w:rPr>
          <w:i/>
          <w:spacing w:val="-15"/>
          <w:w w:val="105"/>
          <w:sz w:val="22"/>
        </w:rPr>
        <w:t> </w:t>
      </w:r>
      <w:r>
        <w:rPr>
          <w:i/>
          <w:w w:val="105"/>
          <w:sz w:val="22"/>
        </w:rPr>
        <w:t>tutte</w:t>
      </w:r>
      <w:r>
        <w:rPr>
          <w:i/>
          <w:spacing w:val="-15"/>
          <w:w w:val="105"/>
          <w:sz w:val="22"/>
        </w:rPr>
        <w:t> </w:t>
      </w:r>
      <w:r>
        <w:rPr>
          <w:i/>
          <w:w w:val="105"/>
          <w:sz w:val="22"/>
        </w:rPr>
        <w:t>le</w:t>
      </w:r>
      <w:r>
        <w:rPr>
          <w:i/>
          <w:spacing w:val="-16"/>
          <w:w w:val="105"/>
          <w:sz w:val="22"/>
        </w:rPr>
        <w:t> </w:t>
      </w:r>
      <w:r>
        <w:rPr>
          <w:i/>
          <w:w w:val="105"/>
          <w:sz w:val="22"/>
        </w:rPr>
        <w:t>ipotesi</w:t>
      </w:r>
      <w:r>
        <w:rPr>
          <w:i/>
          <w:spacing w:val="-15"/>
          <w:w w:val="105"/>
          <w:sz w:val="22"/>
        </w:rPr>
        <w:t> </w:t>
      </w:r>
      <w:r>
        <w:rPr>
          <w:i/>
          <w:w w:val="105"/>
          <w:sz w:val="22"/>
        </w:rPr>
        <w:t>contemplate</w:t>
      </w:r>
      <w:r>
        <w:rPr>
          <w:i/>
          <w:spacing w:val="-15"/>
          <w:w w:val="105"/>
          <w:sz w:val="22"/>
        </w:rPr>
        <w:t> </w:t>
      </w:r>
      <w:r>
        <w:rPr>
          <w:i/>
          <w:w w:val="105"/>
          <w:sz w:val="22"/>
        </w:rPr>
        <w:t>dall’art.</w:t>
      </w:r>
      <w:r>
        <w:rPr>
          <w:i/>
          <w:spacing w:val="-15"/>
          <w:w w:val="105"/>
          <w:sz w:val="22"/>
        </w:rPr>
        <w:t> </w:t>
      </w:r>
      <w:r>
        <w:rPr>
          <w:i/>
          <w:w w:val="105"/>
          <w:sz w:val="22"/>
        </w:rPr>
        <w:t>186</w:t>
      </w:r>
      <w:r>
        <w:rPr>
          <w:i/>
          <w:spacing w:val="-15"/>
          <w:w w:val="105"/>
          <w:sz w:val="22"/>
        </w:rPr>
        <w:t> </w:t>
      </w:r>
      <w:r>
        <w:rPr>
          <w:i/>
          <w:w w:val="105"/>
          <w:sz w:val="22"/>
        </w:rPr>
        <w:t>bis</w:t>
      </w:r>
      <w:r>
        <w:rPr>
          <w:i/>
          <w:spacing w:val="-15"/>
          <w:w w:val="105"/>
          <w:sz w:val="22"/>
        </w:rPr>
        <w:t> </w:t>
      </w:r>
      <w:r>
        <w:rPr>
          <w:i/>
          <w:w w:val="105"/>
          <w:sz w:val="22"/>
        </w:rPr>
        <w:t>l.</w:t>
      </w:r>
      <w:r>
        <w:rPr>
          <w:i/>
          <w:spacing w:val="-16"/>
          <w:w w:val="105"/>
          <w:sz w:val="22"/>
        </w:rPr>
        <w:t> </w:t>
      </w:r>
      <w:r>
        <w:rPr>
          <w:i/>
          <w:w w:val="105"/>
          <w:sz w:val="22"/>
        </w:rPr>
        <w:t>fall.</w:t>
      </w:r>
      <w:r>
        <w:rPr>
          <w:w w:val="105"/>
          <w:sz w:val="22"/>
        </w:rPr>
        <w:t>”.</w:t>
      </w:r>
    </w:p>
    <w:p>
      <w:pPr>
        <w:pStyle w:val="ListParagraph"/>
        <w:numPr>
          <w:ilvl w:val="0"/>
          <w:numId w:val="20"/>
        </w:numPr>
        <w:tabs>
          <w:tab w:pos="1078" w:val="left" w:leader="none"/>
          <w:tab w:pos="1079" w:val="left" w:leader="none"/>
        </w:tabs>
        <w:spacing w:line="240" w:lineRule="auto" w:before="4" w:after="0"/>
        <w:ind w:left="1078" w:right="0" w:hanging="340"/>
        <w:jc w:val="left"/>
        <w:rPr>
          <w:i/>
          <w:sz w:val="22"/>
        </w:rPr>
      </w:pPr>
      <w:r>
        <w:rPr>
          <w:w w:val="105"/>
          <w:sz w:val="22"/>
        </w:rPr>
        <w:t>“</w:t>
      </w:r>
      <w:r>
        <w:rPr>
          <w:i/>
          <w:w w:val="105"/>
          <w:sz w:val="22"/>
        </w:rPr>
        <w:t>la</w:t>
      </w:r>
      <w:r>
        <w:rPr>
          <w:i/>
          <w:spacing w:val="26"/>
          <w:w w:val="105"/>
          <w:sz w:val="22"/>
        </w:rPr>
        <w:t> </w:t>
      </w:r>
      <w:r>
        <w:rPr>
          <w:i/>
          <w:w w:val="105"/>
          <w:sz w:val="22"/>
        </w:rPr>
        <w:t>proposta</w:t>
      </w:r>
      <w:r>
        <w:rPr>
          <w:i/>
          <w:spacing w:val="27"/>
          <w:w w:val="105"/>
          <w:sz w:val="22"/>
        </w:rPr>
        <w:t> </w:t>
      </w:r>
      <w:r>
        <w:rPr>
          <w:i/>
          <w:w w:val="105"/>
          <w:sz w:val="22"/>
        </w:rPr>
        <w:t>presenta,</w:t>
      </w:r>
      <w:r>
        <w:rPr>
          <w:i/>
          <w:spacing w:val="27"/>
          <w:w w:val="105"/>
          <w:sz w:val="22"/>
        </w:rPr>
        <w:t> </w:t>
      </w:r>
      <w:r>
        <w:rPr>
          <w:i/>
          <w:w w:val="105"/>
          <w:sz w:val="22"/>
        </w:rPr>
        <w:t>a</w:t>
      </w:r>
      <w:r>
        <w:rPr>
          <w:i/>
          <w:spacing w:val="26"/>
          <w:w w:val="105"/>
          <w:sz w:val="22"/>
        </w:rPr>
        <w:t> </w:t>
      </w:r>
      <w:r>
        <w:rPr>
          <w:i/>
          <w:w w:val="105"/>
          <w:sz w:val="22"/>
        </w:rPr>
        <w:t>pena</w:t>
      </w:r>
      <w:r>
        <w:rPr>
          <w:i/>
          <w:spacing w:val="26"/>
          <w:w w:val="105"/>
          <w:sz w:val="22"/>
        </w:rPr>
        <w:t> </w:t>
      </w:r>
      <w:r>
        <w:rPr>
          <w:i/>
          <w:w w:val="105"/>
          <w:sz w:val="22"/>
        </w:rPr>
        <w:t>di</w:t>
      </w:r>
      <w:r>
        <w:rPr>
          <w:i/>
          <w:spacing w:val="26"/>
          <w:w w:val="105"/>
          <w:sz w:val="22"/>
        </w:rPr>
        <w:t> </w:t>
      </w:r>
      <w:r>
        <w:rPr>
          <w:i/>
          <w:w w:val="105"/>
          <w:sz w:val="22"/>
        </w:rPr>
        <w:t>inammissibilità,</w:t>
      </w:r>
      <w:r>
        <w:rPr>
          <w:i/>
          <w:spacing w:val="26"/>
          <w:w w:val="105"/>
          <w:sz w:val="22"/>
        </w:rPr>
        <w:t> </w:t>
      </w:r>
      <w:r>
        <w:rPr>
          <w:i/>
          <w:w w:val="105"/>
          <w:sz w:val="22"/>
        </w:rPr>
        <w:t>un</w:t>
      </w:r>
      <w:r>
        <w:rPr>
          <w:i/>
          <w:spacing w:val="26"/>
          <w:w w:val="105"/>
          <w:sz w:val="22"/>
        </w:rPr>
        <w:t> </w:t>
      </w:r>
      <w:r>
        <w:rPr>
          <w:i/>
          <w:w w:val="105"/>
          <w:sz w:val="22"/>
        </w:rPr>
        <w:t>contenuto</w:t>
      </w:r>
      <w:r>
        <w:rPr>
          <w:i/>
          <w:spacing w:val="26"/>
          <w:w w:val="105"/>
          <w:sz w:val="22"/>
        </w:rPr>
        <w:t> </w:t>
      </w:r>
      <w:r>
        <w:rPr>
          <w:i/>
          <w:w w:val="105"/>
          <w:sz w:val="22"/>
        </w:rPr>
        <w:t>necessario</w:t>
      </w:r>
      <w:r>
        <w:rPr>
          <w:i/>
          <w:spacing w:val="25"/>
          <w:w w:val="105"/>
          <w:sz w:val="22"/>
        </w:rPr>
        <w:t> </w:t>
      </w:r>
      <w:r>
        <w:rPr>
          <w:i/>
          <w:w w:val="105"/>
          <w:sz w:val="22"/>
        </w:rPr>
        <w:t>ed</w:t>
      </w:r>
    </w:p>
    <w:p>
      <w:pPr>
        <w:pStyle w:val="BodyText"/>
        <w:spacing w:before="7"/>
        <w:rPr>
          <w:i/>
          <w:sz w:val="9"/>
        </w:rPr>
      </w:pPr>
      <w:r>
        <w:rPr/>
        <w:pict>
          <v:line style="position:absolute;mso-position-horizontal-relative:page;mso-position-vertical-relative:paragraph;z-index:2248;mso-wrap-distance-left:0;mso-wrap-distance-right:0" from="106.019997pt,7.629702pt" to="241.499997pt,7.629702pt" stroked="true" strokeweight=".48pt" strokecolor="#000000">
            <v:stroke dashstyle="solid"/>
            <w10:wrap type="topAndBottom"/>
          </v:line>
        </w:pict>
      </w:r>
    </w:p>
    <w:p>
      <w:pPr>
        <w:spacing w:line="191" w:lineRule="exact" w:before="50"/>
        <w:ind w:left="400" w:right="0" w:firstLine="0"/>
        <w:jc w:val="both"/>
        <w:rPr>
          <w:sz w:val="17"/>
        </w:rPr>
      </w:pPr>
      <w:r>
        <w:rPr>
          <w:position w:val="4"/>
          <w:sz w:val="11"/>
        </w:rPr>
        <w:t>6 </w:t>
      </w:r>
      <w:r>
        <w:rPr>
          <w:sz w:val="17"/>
        </w:rPr>
        <w:t>Z</w:t>
      </w:r>
      <w:r>
        <w:rPr>
          <w:sz w:val="13"/>
        </w:rPr>
        <w:t>ANICHELLI</w:t>
      </w:r>
      <w:r>
        <w:rPr>
          <w:sz w:val="17"/>
        </w:rPr>
        <w:t>, </w:t>
      </w:r>
      <w:r>
        <w:rPr>
          <w:i/>
          <w:sz w:val="17"/>
        </w:rPr>
        <w:t>Il ritorno della ragione o la ragione di un ritorno?</w:t>
      </w:r>
      <w:r>
        <w:rPr>
          <w:sz w:val="17"/>
        </w:rPr>
        <w:t>, in </w:t>
      </w:r>
      <w:hyperlink r:id="rId13">
        <w:r>
          <w:rPr>
            <w:i/>
            <w:sz w:val="17"/>
          </w:rPr>
          <w:t>www.ilcaso.it</w:t>
        </w:r>
        <w:r>
          <w:rPr>
            <w:sz w:val="17"/>
          </w:rPr>
          <w:t>,</w:t>
        </w:r>
      </w:hyperlink>
      <w:r>
        <w:rPr>
          <w:sz w:val="17"/>
        </w:rPr>
        <w:t> 4 novembre 2015.</w:t>
      </w:r>
    </w:p>
    <w:p>
      <w:pPr>
        <w:spacing w:before="0"/>
        <w:ind w:left="400" w:right="2196" w:firstLine="0"/>
        <w:jc w:val="both"/>
        <w:rPr>
          <w:sz w:val="17"/>
        </w:rPr>
      </w:pPr>
      <w:r>
        <w:rPr>
          <w:position w:val="4"/>
          <w:sz w:val="11"/>
        </w:rPr>
        <w:t>7 </w:t>
      </w:r>
      <w:r>
        <w:rPr>
          <w:sz w:val="17"/>
        </w:rPr>
        <w:t>Trib. Firenze, 11 novembre 2015 (dep. 8 gennaio 2016), su </w:t>
      </w:r>
      <w:hyperlink r:id="rId13">
        <w:r>
          <w:rPr>
            <w:color w:val="0000FF"/>
            <w:sz w:val="17"/>
            <w:u w:val="single" w:color="0000FF"/>
          </w:rPr>
          <w:t>www.ilcaso.it</w:t>
        </w:r>
      </w:hyperlink>
      <w:r>
        <w:rPr>
          <w:color w:val="0000FF"/>
          <w:sz w:val="17"/>
          <w:u w:val="single" w:color="0000FF"/>
        </w:rPr>
        <w:t> </w:t>
      </w:r>
      <w:r>
        <w:rPr>
          <w:sz w:val="17"/>
        </w:rPr>
        <w:t>(“</w:t>
      </w:r>
      <w:r>
        <w:rPr>
          <w:i/>
          <w:sz w:val="17"/>
        </w:rPr>
        <w:t>Dunque, il comma IV </w:t>
      </w:r>
      <w:r>
        <w:rPr>
          <w:i/>
          <w:sz w:val="17"/>
        </w:rPr>
        <w:t>dell’art. 160 novellato deve essere letto nel senso che in ogni caso il debitore deve proporre fondatamente il pagamento di almeno il 20% dell’ammontare dei crediti chirografari laddove per ‘fondatamente deve intendersi una prospettazione a metà strada fra il concetto di garanzia e quello della ragionevole previsione</w:t>
      </w:r>
      <w:r>
        <w:rPr>
          <w:sz w:val="17"/>
        </w:rPr>
        <w:t>”). Così anche Trib. Pistoia, 29 ottobre 2015, su </w:t>
      </w:r>
      <w:hyperlink r:id="rId13">
        <w:r>
          <w:rPr>
            <w:i/>
            <w:sz w:val="17"/>
          </w:rPr>
          <w:t>www.ilcaso.it</w:t>
        </w:r>
        <w:r>
          <w:rPr>
            <w:sz w:val="17"/>
          </w:rPr>
          <w:t>.</w:t>
        </w:r>
      </w:hyperlink>
    </w:p>
    <w:p>
      <w:pPr>
        <w:spacing w:before="0"/>
        <w:ind w:left="400" w:right="2198" w:firstLine="0"/>
        <w:jc w:val="both"/>
        <w:rPr>
          <w:sz w:val="17"/>
        </w:rPr>
      </w:pPr>
      <w:r>
        <w:rPr>
          <w:position w:val="4"/>
          <w:sz w:val="11"/>
        </w:rPr>
        <w:t>8 </w:t>
      </w:r>
      <w:r>
        <w:rPr>
          <w:i/>
          <w:sz w:val="17"/>
        </w:rPr>
        <w:t>Linee Guida Interpretative su alcuni profili della L. 132/2015</w:t>
      </w:r>
      <w:r>
        <w:rPr>
          <w:sz w:val="17"/>
        </w:rPr>
        <w:t>, su </w:t>
      </w:r>
      <w:r>
        <w:rPr>
          <w:i/>
          <w:sz w:val="17"/>
        </w:rPr>
        <w:t>ilfallimentarista.it</w:t>
      </w:r>
      <w:r>
        <w:rPr>
          <w:sz w:val="17"/>
        </w:rPr>
        <w:t>., S</w:t>
      </w:r>
      <w:r>
        <w:rPr>
          <w:sz w:val="13"/>
        </w:rPr>
        <w:t>ABATELLI</w:t>
      </w:r>
      <w:r>
        <w:rPr>
          <w:sz w:val="17"/>
        </w:rPr>
        <w:t>, </w:t>
      </w:r>
      <w:r>
        <w:rPr>
          <w:i/>
          <w:sz w:val="17"/>
        </w:rPr>
        <w:t>La novellata </w:t>
      </w:r>
      <w:r>
        <w:rPr>
          <w:i/>
          <w:sz w:val="17"/>
        </w:rPr>
        <w:t>disciplina della domanda di ammissione al concordato preventivo</w:t>
      </w:r>
      <w:r>
        <w:rPr>
          <w:sz w:val="17"/>
        </w:rPr>
        <w:t>, in </w:t>
      </w:r>
      <w:r>
        <w:rPr>
          <w:i/>
          <w:sz w:val="17"/>
        </w:rPr>
        <w:t>ilfallimentarista.it</w:t>
      </w:r>
      <w:r>
        <w:rPr>
          <w:sz w:val="17"/>
        </w:rPr>
        <w:t>., 13 gennaio 2016.</w:t>
      </w:r>
    </w:p>
    <w:p>
      <w:pPr>
        <w:spacing w:after="0"/>
        <w:jc w:val="both"/>
        <w:rPr>
          <w:sz w:val="17"/>
        </w:rPr>
        <w:sectPr>
          <w:pgSz w:w="12240" w:h="15840"/>
          <w:pgMar w:header="0" w:footer="790" w:top="1500" w:bottom="980" w:left="1720" w:right="1200"/>
        </w:sectPr>
      </w:pPr>
    </w:p>
    <w:p>
      <w:pPr>
        <w:spacing w:line="491" w:lineRule="auto" w:before="105"/>
        <w:ind w:left="1078" w:right="2195" w:firstLine="0"/>
        <w:jc w:val="both"/>
        <w:rPr>
          <w:sz w:val="22"/>
        </w:rPr>
      </w:pPr>
      <w:r>
        <w:rPr>
          <w:i/>
          <w:w w:val="105"/>
          <w:sz w:val="22"/>
        </w:rPr>
        <w:t>indisponibile (obbligo del pagamento del 20% dell’ammontare dei crediti </w:t>
      </w:r>
      <w:r>
        <w:rPr>
          <w:i/>
          <w:w w:val="105"/>
          <w:sz w:val="22"/>
        </w:rPr>
        <w:t>chirografari) ed uno eventuale, rimesso alla piena disponibilità del debitore (prospettazione od obbligo di pagamento o soddisfazione del rimanente 80%)</w:t>
      </w:r>
      <w:r>
        <w:rPr>
          <w:w w:val="105"/>
          <w:sz w:val="22"/>
        </w:rPr>
        <w:t>”;</w:t>
      </w:r>
    </w:p>
    <w:p>
      <w:pPr>
        <w:pStyle w:val="ListParagraph"/>
        <w:numPr>
          <w:ilvl w:val="0"/>
          <w:numId w:val="20"/>
        </w:numPr>
        <w:tabs>
          <w:tab w:pos="1079" w:val="left" w:leader="none"/>
        </w:tabs>
        <w:spacing w:line="487" w:lineRule="auto" w:before="0" w:after="0"/>
        <w:ind w:left="1078" w:right="2195" w:hanging="340"/>
        <w:jc w:val="both"/>
        <w:rPr>
          <w:sz w:val="22"/>
        </w:rPr>
      </w:pPr>
      <w:r>
        <w:rPr>
          <w:w w:val="105"/>
          <w:sz w:val="22"/>
        </w:rPr>
        <w:t>“</w:t>
      </w:r>
      <w:r>
        <w:rPr>
          <w:i/>
          <w:w w:val="105"/>
          <w:sz w:val="22"/>
        </w:rPr>
        <w:t>il pagamento del 20% dell’ammontare complessivo dei crediti chirografari </w:t>
      </w:r>
      <w:r>
        <w:rPr>
          <w:i/>
          <w:w w:val="105"/>
          <w:sz w:val="22"/>
        </w:rPr>
        <w:t>costituisce (ove il debitore non abbia assunto volontariamente ulteriori obbligazioni) il parametro per valutare l’adempimento del concordato e, quindi, la</w:t>
      </w:r>
      <w:r>
        <w:rPr>
          <w:i/>
          <w:spacing w:val="-21"/>
          <w:w w:val="105"/>
          <w:sz w:val="22"/>
        </w:rPr>
        <w:t> </w:t>
      </w:r>
      <w:r>
        <w:rPr>
          <w:i/>
          <w:w w:val="105"/>
          <w:sz w:val="22"/>
        </w:rPr>
        <w:t>sussistenza</w:t>
      </w:r>
      <w:r>
        <w:rPr>
          <w:i/>
          <w:spacing w:val="-19"/>
          <w:w w:val="105"/>
          <w:sz w:val="22"/>
        </w:rPr>
        <w:t> </w:t>
      </w:r>
      <w:r>
        <w:rPr>
          <w:i/>
          <w:w w:val="105"/>
          <w:sz w:val="22"/>
        </w:rPr>
        <w:t>dei</w:t>
      </w:r>
      <w:r>
        <w:rPr>
          <w:i/>
          <w:spacing w:val="-19"/>
          <w:w w:val="105"/>
          <w:sz w:val="22"/>
        </w:rPr>
        <w:t> </w:t>
      </w:r>
      <w:r>
        <w:rPr>
          <w:i/>
          <w:w w:val="105"/>
          <w:sz w:val="22"/>
        </w:rPr>
        <w:t>presupposti</w:t>
      </w:r>
      <w:r>
        <w:rPr>
          <w:i/>
          <w:spacing w:val="-20"/>
          <w:w w:val="105"/>
          <w:sz w:val="22"/>
        </w:rPr>
        <w:t> </w:t>
      </w:r>
      <w:r>
        <w:rPr>
          <w:i/>
          <w:w w:val="105"/>
          <w:sz w:val="22"/>
        </w:rPr>
        <w:t>per</w:t>
      </w:r>
      <w:r>
        <w:rPr>
          <w:i/>
          <w:spacing w:val="-19"/>
          <w:w w:val="105"/>
          <w:sz w:val="22"/>
        </w:rPr>
        <w:t> </w:t>
      </w:r>
      <w:r>
        <w:rPr>
          <w:i/>
          <w:w w:val="105"/>
          <w:sz w:val="22"/>
        </w:rPr>
        <w:t>la</w:t>
      </w:r>
      <w:r>
        <w:rPr>
          <w:i/>
          <w:spacing w:val="-21"/>
          <w:w w:val="105"/>
          <w:sz w:val="22"/>
        </w:rPr>
        <w:t> </w:t>
      </w:r>
      <w:r>
        <w:rPr>
          <w:i/>
          <w:w w:val="105"/>
          <w:sz w:val="22"/>
        </w:rPr>
        <w:t>risoluzione</w:t>
      </w:r>
      <w:r>
        <w:rPr>
          <w:w w:val="105"/>
          <w:sz w:val="22"/>
        </w:rPr>
        <w:t>”.</w:t>
      </w:r>
    </w:p>
    <w:p>
      <w:pPr>
        <w:pStyle w:val="BodyText"/>
        <w:spacing w:line="491" w:lineRule="auto" w:before="7"/>
        <w:ind w:left="400" w:right="2225"/>
        <w:jc w:val="both"/>
      </w:pPr>
      <w:r>
        <w:rPr>
          <w:w w:val="105"/>
        </w:rPr>
        <w:t>La Società, alla luce del disposto dell’art. 160 legge fall. e ponendosi in un’ottica prudenziale rispetto a possibili profili d’inammissibilità, intende assumere, come in effetti assume, un’obbligazione di pagamento di natura monetaria nei confronti dei propri creditori , sottoponendo a costoro una Proposta ed un Piano che – seppur necessariamente caratterizzati da quell’alea propria di ogni valutazione prognostica – assicurano, nel senso previsto dall’art. 160, comma ult., legge fall., così come inteso dalle Linee </w:t>
      </w:r>
      <w:r>
        <w:rPr/>
        <w:t>Guida Interpretative:</w:t>
      </w:r>
    </w:p>
    <w:p>
      <w:pPr>
        <w:pStyle w:val="ListParagraph"/>
        <w:numPr>
          <w:ilvl w:val="0"/>
          <w:numId w:val="21"/>
        </w:numPr>
        <w:tabs>
          <w:tab w:pos="1067" w:val="left" w:leader="none"/>
          <w:tab w:pos="1068" w:val="left" w:leader="none"/>
        </w:tabs>
        <w:spacing w:line="240" w:lineRule="auto" w:before="1" w:after="0"/>
        <w:ind w:left="1078" w:right="0" w:hanging="410"/>
        <w:jc w:val="left"/>
        <w:rPr>
          <w:sz w:val="22"/>
        </w:rPr>
      </w:pPr>
      <w:r>
        <w:rPr>
          <w:w w:val="105"/>
          <w:sz w:val="22"/>
        </w:rPr>
        <w:t>il</w:t>
      </w:r>
      <w:r>
        <w:rPr>
          <w:spacing w:val="-21"/>
          <w:w w:val="105"/>
          <w:sz w:val="22"/>
        </w:rPr>
        <w:t> </w:t>
      </w:r>
      <w:r>
        <w:rPr>
          <w:w w:val="105"/>
          <w:sz w:val="22"/>
        </w:rPr>
        <w:t>pagamento</w:t>
      </w:r>
      <w:r>
        <w:rPr>
          <w:spacing w:val="-21"/>
          <w:w w:val="105"/>
          <w:sz w:val="22"/>
        </w:rPr>
        <w:t> </w:t>
      </w:r>
      <w:r>
        <w:rPr>
          <w:w w:val="105"/>
          <w:sz w:val="22"/>
        </w:rPr>
        <w:t>integrale</w:t>
      </w:r>
      <w:r>
        <w:rPr>
          <w:spacing w:val="-22"/>
          <w:w w:val="105"/>
          <w:sz w:val="22"/>
        </w:rPr>
        <w:t> </w:t>
      </w:r>
      <w:r>
        <w:rPr>
          <w:w w:val="105"/>
          <w:sz w:val="22"/>
        </w:rPr>
        <w:t>degli</w:t>
      </w:r>
      <w:r>
        <w:rPr>
          <w:spacing w:val="-22"/>
          <w:w w:val="105"/>
          <w:sz w:val="22"/>
        </w:rPr>
        <w:t> </w:t>
      </w:r>
      <w:r>
        <w:rPr>
          <w:w w:val="105"/>
          <w:sz w:val="22"/>
        </w:rPr>
        <w:t>oneri</w:t>
      </w:r>
      <w:r>
        <w:rPr>
          <w:spacing w:val="-22"/>
          <w:w w:val="105"/>
          <w:sz w:val="22"/>
        </w:rPr>
        <w:t> </w:t>
      </w:r>
      <w:r>
        <w:rPr>
          <w:w w:val="105"/>
          <w:sz w:val="22"/>
        </w:rPr>
        <w:t>di</w:t>
      </w:r>
      <w:r>
        <w:rPr>
          <w:spacing w:val="-21"/>
          <w:w w:val="105"/>
          <w:sz w:val="22"/>
        </w:rPr>
        <w:t> </w:t>
      </w:r>
      <w:r>
        <w:rPr>
          <w:w w:val="105"/>
          <w:sz w:val="22"/>
        </w:rPr>
        <w:t>ristrutturazione;</w:t>
      </w:r>
    </w:p>
    <w:p>
      <w:pPr>
        <w:pStyle w:val="BodyText"/>
        <w:rPr>
          <w:sz w:val="23"/>
        </w:rPr>
      </w:pPr>
    </w:p>
    <w:p>
      <w:pPr>
        <w:pStyle w:val="ListParagraph"/>
        <w:numPr>
          <w:ilvl w:val="0"/>
          <w:numId w:val="21"/>
        </w:numPr>
        <w:tabs>
          <w:tab w:pos="1079" w:val="left" w:leader="none"/>
        </w:tabs>
        <w:spacing w:line="491" w:lineRule="auto" w:before="1" w:after="0"/>
        <w:ind w:left="1078" w:right="2194" w:hanging="410"/>
        <w:jc w:val="both"/>
        <w:rPr>
          <w:sz w:val="22"/>
        </w:rPr>
      </w:pPr>
      <w:r>
        <w:rPr>
          <w:w w:val="105"/>
          <w:sz w:val="22"/>
        </w:rPr>
        <w:t>il</w:t>
      </w:r>
      <w:r>
        <w:rPr>
          <w:spacing w:val="-9"/>
          <w:w w:val="105"/>
          <w:sz w:val="22"/>
        </w:rPr>
        <w:t> </w:t>
      </w:r>
      <w:r>
        <w:rPr>
          <w:w w:val="105"/>
          <w:sz w:val="22"/>
        </w:rPr>
        <w:t>pagamento</w:t>
      </w:r>
      <w:r>
        <w:rPr>
          <w:spacing w:val="-8"/>
          <w:w w:val="105"/>
          <w:sz w:val="22"/>
        </w:rPr>
        <w:t> </w:t>
      </w:r>
      <w:r>
        <w:rPr>
          <w:w w:val="105"/>
          <w:sz w:val="22"/>
        </w:rPr>
        <w:t>integrale,</w:t>
      </w:r>
      <w:r>
        <w:rPr>
          <w:spacing w:val="-10"/>
          <w:w w:val="105"/>
          <w:sz w:val="22"/>
        </w:rPr>
        <w:t> </w:t>
      </w:r>
      <w:r>
        <w:rPr>
          <w:w w:val="105"/>
          <w:sz w:val="22"/>
        </w:rPr>
        <w:t>in</w:t>
      </w:r>
      <w:r>
        <w:rPr>
          <w:spacing w:val="-8"/>
          <w:w w:val="105"/>
          <w:sz w:val="22"/>
        </w:rPr>
        <w:t> </w:t>
      </w:r>
      <w:r>
        <w:rPr>
          <w:w w:val="105"/>
          <w:sz w:val="22"/>
        </w:rPr>
        <w:t>base</w:t>
      </w:r>
      <w:r>
        <w:rPr>
          <w:spacing w:val="-8"/>
          <w:w w:val="105"/>
          <w:sz w:val="22"/>
        </w:rPr>
        <w:t> </w:t>
      </w:r>
      <w:r>
        <w:rPr>
          <w:w w:val="105"/>
          <w:sz w:val="22"/>
        </w:rPr>
        <w:t>alla</w:t>
      </w:r>
      <w:r>
        <w:rPr>
          <w:spacing w:val="-10"/>
          <w:w w:val="105"/>
          <w:sz w:val="22"/>
        </w:rPr>
        <w:t> </w:t>
      </w:r>
      <w:r>
        <w:rPr>
          <w:w w:val="105"/>
          <w:sz w:val="22"/>
        </w:rPr>
        <w:t>scadenza</w:t>
      </w:r>
      <w:r>
        <w:rPr>
          <w:spacing w:val="-9"/>
          <w:w w:val="105"/>
          <w:sz w:val="22"/>
        </w:rPr>
        <w:t> </w:t>
      </w:r>
      <w:r>
        <w:rPr>
          <w:w w:val="105"/>
          <w:sz w:val="22"/>
        </w:rPr>
        <w:t>naturale</w:t>
      </w:r>
      <w:r>
        <w:rPr>
          <w:spacing w:val="-8"/>
          <w:w w:val="105"/>
          <w:sz w:val="22"/>
        </w:rPr>
        <w:t> </w:t>
      </w:r>
      <w:r>
        <w:rPr>
          <w:w w:val="105"/>
          <w:sz w:val="22"/>
        </w:rPr>
        <w:t>degli</w:t>
      </w:r>
      <w:r>
        <w:rPr>
          <w:spacing w:val="-9"/>
          <w:w w:val="105"/>
          <w:sz w:val="22"/>
        </w:rPr>
        <w:t> </w:t>
      </w:r>
      <w:r>
        <w:rPr>
          <w:w w:val="105"/>
          <w:sz w:val="22"/>
        </w:rPr>
        <w:t>stessi</w:t>
      </w:r>
      <w:r>
        <w:rPr>
          <w:spacing w:val="-9"/>
          <w:w w:val="105"/>
          <w:sz w:val="22"/>
        </w:rPr>
        <w:t> </w:t>
      </w:r>
      <w:r>
        <w:rPr>
          <w:w w:val="105"/>
          <w:sz w:val="22"/>
        </w:rPr>
        <w:t>(cfr. piano di cassa marzo 2018 – luglio 2018), dei debiti previsti per il mantenimento del Ramo Biochemtex fino alla cessione del medesimo a Versalis o altro soggetto che ne risulterà aggiudicatario all’esito</w:t>
      </w:r>
      <w:r>
        <w:rPr>
          <w:spacing w:val="-17"/>
          <w:w w:val="105"/>
          <w:sz w:val="22"/>
        </w:rPr>
        <w:t> </w:t>
      </w:r>
      <w:r>
        <w:rPr>
          <w:w w:val="105"/>
          <w:sz w:val="22"/>
        </w:rPr>
        <w:t>dell’asta</w:t>
      </w:r>
      <w:r>
        <w:rPr>
          <w:spacing w:val="-18"/>
          <w:w w:val="105"/>
          <w:sz w:val="22"/>
        </w:rPr>
        <w:t> </w:t>
      </w:r>
      <w:r>
        <w:rPr>
          <w:w w:val="105"/>
          <w:sz w:val="22"/>
        </w:rPr>
        <w:t>competitiva</w:t>
      </w:r>
      <w:r>
        <w:rPr>
          <w:spacing w:val="-17"/>
          <w:w w:val="105"/>
          <w:sz w:val="22"/>
        </w:rPr>
        <w:t> </w:t>
      </w:r>
      <w:r>
        <w:rPr>
          <w:w w:val="105"/>
          <w:sz w:val="22"/>
        </w:rPr>
        <w:t>ex</w:t>
      </w:r>
      <w:r>
        <w:rPr>
          <w:spacing w:val="-19"/>
          <w:w w:val="105"/>
          <w:sz w:val="22"/>
        </w:rPr>
        <w:t> </w:t>
      </w:r>
      <w:r>
        <w:rPr>
          <w:w w:val="105"/>
          <w:sz w:val="22"/>
        </w:rPr>
        <w:t>art.</w:t>
      </w:r>
      <w:r>
        <w:rPr>
          <w:spacing w:val="-17"/>
          <w:w w:val="105"/>
          <w:sz w:val="22"/>
        </w:rPr>
        <w:t> </w:t>
      </w:r>
      <w:r>
        <w:rPr>
          <w:w w:val="105"/>
          <w:sz w:val="22"/>
        </w:rPr>
        <w:t>163-bis</w:t>
      </w:r>
      <w:r>
        <w:rPr>
          <w:spacing w:val="-18"/>
          <w:w w:val="105"/>
          <w:sz w:val="22"/>
        </w:rPr>
        <w:t> </w:t>
      </w:r>
      <w:r>
        <w:rPr>
          <w:w w:val="105"/>
          <w:sz w:val="22"/>
        </w:rPr>
        <w:t>l.</w:t>
      </w:r>
      <w:r>
        <w:rPr>
          <w:spacing w:val="-17"/>
          <w:w w:val="105"/>
          <w:sz w:val="22"/>
        </w:rPr>
        <w:t> </w:t>
      </w:r>
      <w:r>
        <w:rPr>
          <w:w w:val="105"/>
          <w:sz w:val="22"/>
        </w:rPr>
        <w:t>fall.;</w:t>
      </w:r>
    </w:p>
    <w:p>
      <w:pPr>
        <w:pStyle w:val="ListParagraph"/>
        <w:numPr>
          <w:ilvl w:val="0"/>
          <w:numId w:val="21"/>
        </w:numPr>
        <w:tabs>
          <w:tab w:pos="1068" w:val="left" w:leader="none"/>
        </w:tabs>
        <w:spacing w:line="491" w:lineRule="auto" w:before="0" w:after="0"/>
        <w:ind w:left="1067" w:right="2196" w:hanging="400"/>
        <w:jc w:val="both"/>
        <w:rPr>
          <w:sz w:val="22"/>
        </w:rPr>
      </w:pPr>
      <w:r>
        <w:rPr>
          <w:w w:val="105"/>
          <w:sz w:val="22"/>
        </w:rPr>
        <w:t>il pagamento integrale dei crediti di lavoro e dei relativi interessi, in parte mediante previsione di accollo da parte dell’aggiudicatario del Ramo Biochemtex e, in altra parte, direttamente, </w:t>
      </w:r>
      <w:r>
        <w:rPr>
          <w:w w:val="105"/>
          <w:sz w:val="22"/>
          <w:u w:val="single"/>
        </w:rPr>
        <w:t>entro 3 (tre) </w:t>
      </w:r>
      <w:r>
        <w:rPr>
          <w:spacing w:val="40"/>
          <w:w w:val="105"/>
          <w:sz w:val="22"/>
          <w:u w:val="single"/>
        </w:rPr>
        <w:t> </w:t>
      </w:r>
      <w:r>
        <w:rPr>
          <w:w w:val="105"/>
          <w:sz w:val="22"/>
          <w:u w:val="single"/>
        </w:rPr>
        <w:t>mesi</w:t>
      </w:r>
    </w:p>
    <w:p>
      <w:pPr>
        <w:spacing w:after="0" w:line="491" w:lineRule="auto"/>
        <w:jc w:val="both"/>
        <w:rPr>
          <w:sz w:val="22"/>
        </w:rPr>
        <w:sectPr>
          <w:pgSz w:w="12240" w:h="15840"/>
          <w:pgMar w:header="0" w:footer="790" w:top="1500" w:bottom="980" w:left="1720" w:right="1200"/>
        </w:sectPr>
      </w:pPr>
    </w:p>
    <w:p>
      <w:pPr>
        <w:pStyle w:val="BodyText"/>
        <w:spacing w:line="491" w:lineRule="auto" w:before="105"/>
        <w:ind w:left="1067" w:right="2200"/>
      </w:pPr>
      <w:r>
        <w:rPr>
          <w:w w:val="105"/>
        </w:rPr>
        <w:t>dal Decreto di Omologazione, salva autorizzazione a riparti anticipati;</w:t>
      </w:r>
    </w:p>
    <w:p>
      <w:pPr>
        <w:pStyle w:val="ListParagraph"/>
        <w:numPr>
          <w:ilvl w:val="0"/>
          <w:numId w:val="21"/>
        </w:numPr>
        <w:tabs>
          <w:tab w:pos="1068" w:val="left" w:leader="none"/>
        </w:tabs>
        <w:spacing w:line="491" w:lineRule="auto" w:before="1" w:after="0"/>
        <w:ind w:left="1067" w:right="2196" w:hanging="399"/>
        <w:jc w:val="both"/>
        <w:rPr>
          <w:sz w:val="22"/>
        </w:rPr>
      </w:pPr>
      <w:r>
        <w:rPr>
          <w:w w:val="105"/>
          <w:sz w:val="22"/>
        </w:rPr>
        <w:t>il</w:t>
      </w:r>
      <w:r>
        <w:rPr>
          <w:spacing w:val="-13"/>
          <w:w w:val="105"/>
          <w:sz w:val="22"/>
        </w:rPr>
        <w:t> </w:t>
      </w:r>
      <w:r>
        <w:rPr>
          <w:w w:val="105"/>
          <w:sz w:val="22"/>
        </w:rPr>
        <w:t>pagamento</w:t>
      </w:r>
      <w:r>
        <w:rPr>
          <w:spacing w:val="-12"/>
          <w:w w:val="105"/>
          <w:sz w:val="22"/>
        </w:rPr>
        <w:t> </w:t>
      </w:r>
      <w:r>
        <w:rPr>
          <w:w w:val="105"/>
          <w:sz w:val="22"/>
        </w:rPr>
        <w:t>integrale</w:t>
      </w:r>
      <w:r>
        <w:rPr>
          <w:spacing w:val="-13"/>
          <w:w w:val="105"/>
          <w:sz w:val="22"/>
        </w:rPr>
        <w:t> </w:t>
      </w:r>
      <w:r>
        <w:rPr>
          <w:w w:val="105"/>
          <w:sz w:val="22"/>
        </w:rPr>
        <w:t>dei</w:t>
      </w:r>
      <w:r>
        <w:rPr>
          <w:spacing w:val="-13"/>
          <w:w w:val="105"/>
          <w:sz w:val="22"/>
        </w:rPr>
        <w:t> </w:t>
      </w:r>
      <w:r>
        <w:rPr>
          <w:w w:val="105"/>
          <w:sz w:val="22"/>
        </w:rPr>
        <w:t>crediti</w:t>
      </w:r>
      <w:r>
        <w:rPr>
          <w:spacing w:val="-14"/>
          <w:w w:val="105"/>
          <w:sz w:val="22"/>
        </w:rPr>
        <w:t> </w:t>
      </w:r>
      <w:r>
        <w:rPr>
          <w:w w:val="105"/>
          <w:sz w:val="22"/>
        </w:rPr>
        <w:t>privilegiati</w:t>
      </w:r>
      <w:r>
        <w:rPr>
          <w:spacing w:val="-13"/>
          <w:w w:val="105"/>
          <w:sz w:val="22"/>
        </w:rPr>
        <w:t> </w:t>
      </w:r>
      <w:r>
        <w:rPr>
          <w:w w:val="105"/>
          <w:sz w:val="22"/>
        </w:rPr>
        <w:t>generali,</w:t>
      </w:r>
      <w:r>
        <w:rPr>
          <w:spacing w:val="-13"/>
          <w:w w:val="105"/>
          <w:sz w:val="22"/>
        </w:rPr>
        <w:t> </w:t>
      </w:r>
      <w:r>
        <w:rPr>
          <w:w w:val="105"/>
          <w:sz w:val="22"/>
        </w:rPr>
        <w:t>diversi</w:t>
      </w:r>
      <w:r>
        <w:rPr>
          <w:spacing w:val="-13"/>
          <w:w w:val="105"/>
          <w:sz w:val="22"/>
        </w:rPr>
        <w:t> </w:t>
      </w:r>
      <w:r>
        <w:rPr>
          <w:w w:val="105"/>
          <w:sz w:val="22"/>
        </w:rPr>
        <w:t>da</w:t>
      </w:r>
      <w:r>
        <w:rPr>
          <w:spacing w:val="-14"/>
          <w:w w:val="105"/>
          <w:sz w:val="22"/>
        </w:rPr>
        <w:t> </w:t>
      </w:r>
      <w:r>
        <w:rPr>
          <w:w w:val="105"/>
          <w:sz w:val="22"/>
        </w:rPr>
        <w:t>quelli di cui al precedente punto c. ed anche di natura erariale e previdenziale,</w:t>
      </w:r>
      <w:r>
        <w:rPr>
          <w:spacing w:val="-11"/>
          <w:w w:val="105"/>
          <w:sz w:val="22"/>
        </w:rPr>
        <w:t> </w:t>
      </w:r>
      <w:r>
        <w:rPr>
          <w:w w:val="105"/>
          <w:sz w:val="22"/>
        </w:rPr>
        <w:t>e</w:t>
      </w:r>
      <w:r>
        <w:rPr>
          <w:spacing w:val="-11"/>
          <w:w w:val="105"/>
          <w:sz w:val="22"/>
        </w:rPr>
        <w:t> </w:t>
      </w:r>
      <w:r>
        <w:rPr>
          <w:w w:val="105"/>
          <w:sz w:val="22"/>
        </w:rPr>
        <w:t>dei</w:t>
      </w:r>
      <w:r>
        <w:rPr>
          <w:spacing w:val="-12"/>
          <w:w w:val="105"/>
          <w:sz w:val="22"/>
        </w:rPr>
        <w:t> </w:t>
      </w:r>
      <w:r>
        <w:rPr>
          <w:w w:val="105"/>
          <w:sz w:val="22"/>
        </w:rPr>
        <w:t>relativi</w:t>
      </w:r>
      <w:r>
        <w:rPr>
          <w:spacing w:val="-11"/>
          <w:w w:val="105"/>
          <w:sz w:val="22"/>
        </w:rPr>
        <w:t> </w:t>
      </w:r>
      <w:r>
        <w:rPr>
          <w:w w:val="105"/>
          <w:sz w:val="22"/>
        </w:rPr>
        <w:t>interessi,</w:t>
      </w:r>
      <w:r>
        <w:rPr>
          <w:spacing w:val="-11"/>
          <w:w w:val="105"/>
          <w:sz w:val="22"/>
        </w:rPr>
        <w:t> </w:t>
      </w:r>
      <w:r>
        <w:rPr>
          <w:w w:val="105"/>
          <w:sz w:val="22"/>
          <w:u w:val="single"/>
        </w:rPr>
        <w:t>entro</w:t>
      </w:r>
      <w:r>
        <w:rPr>
          <w:spacing w:val="-13"/>
          <w:w w:val="105"/>
          <w:sz w:val="22"/>
          <w:u w:val="single"/>
        </w:rPr>
        <w:t> </w:t>
      </w:r>
      <w:r>
        <w:rPr>
          <w:w w:val="105"/>
          <w:sz w:val="22"/>
          <w:u w:val="single"/>
        </w:rPr>
        <w:t>3</w:t>
      </w:r>
      <w:r>
        <w:rPr>
          <w:spacing w:val="-11"/>
          <w:w w:val="105"/>
          <w:sz w:val="22"/>
          <w:u w:val="single"/>
        </w:rPr>
        <w:t> </w:t>
      </w:r>
      <w:r>
        <w:rPr>
          <w:w w:val="105"/>
          <w:sz w:val="22"/>
          <w:u w:val="single"/>
        </w:rPr>
        <w:t>(tre)</w:t>
      </w:r>
      <w:r>
        <w:rPr>
          <w:spacing w:val="-12"/>
          <w:w w:val="105"/>
          <w:sz w:val="22"/>
          <w:u w:val="single"/>
        </w:rPr>
        <w:t> </w:t>
      </w:r>
      <w:r>
        <w:rPr>
          <w:w w:val="105"/>
          <w:sz w:val="22"/>
          <w:u w:val="single"/>
        </w:rPr>
        <w:t>mesi</w:t>
      </w:r>
      <w:r>
        <w:rPr>
          <w:spacing w:val="-11"/>
          <w:w w:val="105"/>
          <w:sz w:val="22"/>
          <w:u w:val="single"/>
        </w:rPr>
        <w:t> </w:t>
      </w:r>
      <w:r>
        <w:rPr>
          <w:w w:val="105"/>
          <w:sz w:val="22"/>
        </w:rPr>
        <w:t>dal</w:t>
      </w:r>
      <w:r>
        <w:rPr>
          <w:spacing w:val="-11"/>
          <w:w w:val="105"/>
          <w:sz w:val="22"/>
        </w:rPr>
        <w:t> </w:t>
      </w:r>
      <w:r>
        <w:rPr>
          <w:w w:val="105"/>
          <w:sz w:val="22"/>
        </w:rPr>
        <w:t>Decreto</w:t>
      </w:r>
      <w:r>
        <w:rPr>
          <w:spacing w:val="-11"/>
          <w:w w:val="105"/>
          <w:sz w:val="22"/>
        </w:rPr>
        <w:t> </w:t>
      </w:r>
      <w:r>
        <w:rPr>
          <w:w w:val="105"/>
          <w:sz w:val="22"/>
        </w:rPr>
        <w:t>di</w:t>
      </w:r>
    </w:p>
    <w:p>
      <w:pPr>
        <w:pStyle w:val="BodyText"/>
        <w:spacing w:before="1"/>
        <w:ind w:left="1067"/>
      </w:pPr>
      <w:r>
        <w:rPr>
          <w:w w:val="105"/>
        </w:rPr>
        <w:t>Omologazione, salva autorizzazione a riparti anticipati;</w:t>
      </w:r>
    </w:p>
    <w:p>
      <w:pPr>
        <w:pStyle w:val="BodyText"/>
        <w:rPr>
          <w:sz w:val="23"/>
        </w:rPr>
      </w:pPr>
    </w:p>
    <w:p>
      <w:pPr>
        <w:pStyle w:val="ListParagraph"/>
        <w:numPr>
          <w:ilvl w:val="0"/>
          <w:numId w:val="21"/>
        </w:numPr>
        <w:tabs>
          <w:tab w:pos="1067" w:val="left" w:leader="none"/>
          <w:tab w:pos="1068" w:val="left" w:leader="none"/>
        </w:tabs>
        <w:spacing w:line="494" w:lineRule="auto" w:before="0" w:after="0"/>
        <w:ind w:left="1067" w:right="2196" w:hanging="399"/>
        <w:jc w:val="left"/>
        <w:rPr>
          <w:sz w:val="22"/>
        </w:rPr>
      </w:pPr>
      <w:r>
        <w:rPr>
          <w:w w:val="105"/>
          <w:sz w:val="22"/>
        </w:rPr>
        <w:t>la suddivisione degli altri creditori in 3 (tre) classi, di cui due con diritto di</w:t>
      </w:r>
      <w:r>
        <w:rPr>
          <w:spacing w:val="-33"/>
          <w:w w:val="105"/>
          <w:sz w:val="22"/>
        </w:rPr>
        <w:t> </w:t>
      </w:r>
      <w:r>
        <w:rPr>
          <w:w w:val="105"/>
          <w:sz w:val="22"/>
        </w:rPr>
        <w:t>voto:</w:t>
      </w:r>
    </w:p>
    <w:p>
      <w:pPr>
        <w:pStyle w:val="ListParagraph"/>
        <w:numPr>
          <w:ilvl w:val="1"/>
          <w:numId w:val="21"/>
        </w:numPr>
        <w:tabs>
          <w:tab w:pos="1467" w:val="left" w:leader="none"/>
          <w:tab w:pos="1468" w:val="left" w:leader="none"/>
        </w:tabs>
        <w:spacing w:line="276" w:lineRule="exact" w:before="0" w:after="0"/>
        <w:ind w:left="1467" w:right="0" w:hanging="400"/>
        <w:jc w:val="left"/>
        <w:rPr>
          <w:sz w:val="22"/>
        </w:rPr>
      </w:pPr>
      <w:r>
        <w:rPr>
          <w:b/>
          <w:w w:val="105"/>
          <w:sz w:val="22"/>
          <w:u w:val="single"/>
        </w:rPr>
        <w:t>Classe 1, con diritto di voto</w:t>
      </w:r>
      <w:r>
        <w:rPr>
          <w:w w:val="105"/>
          <w:sz w:val="22"/>
        </w:rPr>
        <w:t>, composta dai crediti</w:t>
      </w:r>
      <w:r>
        <w:rPr>
          <w:spacing w:val="-9"/>
          <w:w w:val="105"/>
          <w:sz w:val="22"/>
        </w:rPr>
        <w:t> </w:t>
      </w:r>
      <w:r>
        <w:rPr>
          <w:w w:val="105"/>
          <w:sz w:val="22"/>
        </w:rPr>
        <w:t>chirografari</w:t>
      </w:r>
    </w:p>
    <w:p>
      <w:pPr>
        <w:pStyle w:val="BodyText"/>
        <w:rPr>
          <w:sz w:val="14"/>
        </w:rPr>
      </w:pPr>
    </w:p>
    <w:p>
      <w:pPr>
        <w:pStyle w:val="BodyText"/>
        <w:spacing w:line="491" w:lineRule="auto" w:before="105"/>
        <w:ind w:left="1467" w:right="2195"/>
        <w:jc w:val="both"/>
      </w:pPr>
      <w:r>
        <w:rPr>
          <w:w w:val="105"/>
        </w:rPr>
        <w:t>diversi</w:t>
      </w:r>
      <w:r>
        <w:rPr>
          <w:spacing w:val="-9"/>
          <w:w w:val="105"/>
        </w:rPr>
        <w:t> </w:t>
      </w:r>
      <w:r>
        <w:rPr>
          <w:w w:val="105"/>
        </w:rPr>
        <w:t>da</w:t>
      </w:r>
      <w:r>
        <w:rPr>
          <w:spacing w:val="-9"/>
          <w:w w:val="105"/>
        </w:rPr>
        <w:t> </w:t>
      </w:r>
      <w:r>
        <w:rPr>
          <w:w w:val="105"/>
        </w:rPr>
        <w:t>quelli</w:t>
      </w:r>
      <w:r>
        <w:rPr>
          <w:spacing w:val="-9"/>
          <w:w w:val="105"/>
        </w:rPr>
        <w:t> </w:t>
      </w:r>
      <w:r>
        <w:rPr>
          <w:w w:val="105"/>
        </w:rPr>
        <w:t>di</w:t>
      </w:r>
      <w:r>
        <w:rPr>
          <w:spacing w:val="-7"/>
          <w:w w:val="105"/>
        </w:rPr>
        <w:t> </w:t>
      </w:r>
      <w:r>
        <w:rPr>
          <w:w w:val="105"/>
        </w:rPr>
        <w:t>cui</w:t>
      </w:r>
      <w:r>
        <w:rPr>
          <w:spacing w:val="-9"/>
          <w:w w:val="105"/>
        </w:rPr>
        <w:t> </w:t>
      </w:r>
      <w:r>
        <w:rPr>
          <w:w w:val="105"/>
        </w:rPr>
        <w:t>alla</w:t>
      </w:r>
      <w:r>
        <w:rPr>
          <w:spacing w:val="-9"/>
          <w:w w:val="105"/>
        </w:rPr>
        <w:t> </w:t>
      </w:r>
      <w:r>
        <w:rPr>
          <w:w w:val="105"/>
        </w:rPr>
        <w:t>classe</w:t>
      </w:r>
      <w:r>
        <w:rPr>
          <w:spacing w:val="-9"/>
          <w:w w:val="105"/>
        </w:rPr>
        <w:t> </w:t>
      </w:r>
      <w:r>
        <w:rPr>
          <w:w w:val="105"/>
        </w:rPr>
        <w:t>2</w:t>
      </w:r>
      <w:r>
        <w:rPr>
          <w:spacing w:val="-9"/>
          <w:w w:val="105"/>
        </w:rPr>
        <w:t> </w:t>
      </w:r>
      <w:r>
        <w:rPr>
          <w:w w:val="105"/>
        </w:rPr>
        <w:t>e</w:t>
      </w:r>
      <w:r>
        <w:rPr>
          <w:spacing w:val="-8"/>
          <w:w w:val="105"/>
        </w:rPr>
        <w:t> </w:t>
      </w:r>
      <w:r>
        <w:rPr>
          <w:w w:val="105"/>
        </w:rPr>
        <w:t>alla</w:t>
      </w:r>
      <w:r>
        <w:rPr>
          <w:spacing w:val="-9"/>
          <w:w w:val="105"/>
        </w:rPr>
        <w:t> </w:t>
      </w:r>
      <w:r>
        <w:rPr>
          <w:w w:val="105"/>
        </w:rPr>
        <w:t>classe</w:t>
      </w:r>
      <w:r>
        <w:rPr>
          <w:spacing w:val="-9"/>
          <w:w w:val="105"/>
        </w:rPr>
        <w:t> </w:t>
      </w:r>
      <w:r>
        <w:rPr>
          <w:w w:val="105"/>
        </w:rPr>
        <w:t>3,</w:t>
      </w:r>
      <w:r>
        <w:rPr>
          <w:spacing w:val="-9"/>
          <w:w w:val="105"/>
        </w:rPr>
        <w:t> </w:t>
      </w:r>
      <w:r>
        <w:rPr>
          <w:w w:val="105"/>
        </w:rPr>
        <w:t>con</w:t>
      </w:r>
      <w:r>
        <w:rPr>
          <w:spacing w:val="-9"/>
          <w:w w:val="105"/>
        </w:rPr>
        <w:t> </w:t>
      </w:r>
      <w:r>
        <w:rPr>
          <w:w w:val="105"/>
        </w:rPr>
        <w:t>pagamento in una percentuale assicurata e garantita pari al 20% del rispettivo credito, da corrispondersi nella misura del relativo 50% </w:t>
      </w:r>
      <w:r>
        <w:rPr>
          <w:w w:val="105"/>
          <w:u w:val="single"/>
        </w:rPr>
        <w:t>entro 3 (tre) mesi </w:t>
      </w:r>
      <w:r>
        <w:rPr>
          <w:w w:val="105"/>
        </w:rPr>
        <w:t>dal Decreto di Omologazione e, quanto all’ulteriore 25% </w:t>
      </w:r>
      <w:r>
        <w:rPr>
          <w:w w:val="105"/>
          <w:u w:val="single"/>
        </w:rPr>
        <w:t>entro 15 (quindici) mesi </w:t>
      </w:r>
      <w:r>
        <w:rPr>
          <w:w w:val="105"/>
        </w:rPr>
        <w:t>dalla Data di Omologazione e, infine, l’ulteriore 25% </w:t>
      </w:r>
      <w:r>
        <w:rPr>
          <w:w w:val="105"/>
          <w:u w:val="single"/>
        </w:rPr>
        <w:t>entro 35</w:t>
      </w:r>
      <w:r>
        <w:rPr>
          <w:spacing w:val="-8"/>
          <w:w w:val="105"/>
          <w:u w:val="single"/>
        </w:rPr>
        <w:t> </w:t>
      </w:r>
      <w:r>
        <w:rPr>
          <w:w w:val="105"/>
          <w:u w:val="single"/>
        </w:rPr>
        <w:t>(trentacinque)</w:t>
      </w:r>
    </w:p>
    <w:p>
      <w:pPr>
        <w:pStyle w:val="BodyText"/>
        <w:spacing w:line="491" w:lineRule="auto"/>
        <w:ind w:left="1467" w:right="2194"/>
      </w:pPr>
      <w:r>
        <w:rPr>
          <w:w w:val="105"/>
          <w:u w:val="single"/>
        </w:rPr>
        <w:t>mesi </w:t>
      </w:r>
      <w:r>
        <w:rPr>
          <w:w w:val="105"/>
        </w:rPr>
        <w:t>dalla Data di Omologazione, salva autorizzazione a riparti anticipati;</w:t>
      </w:r>
    </w:p>
    <w:p>
      <w:pPr>
        <w:pStyle w:val="ListParagraph"/>
        <w:numPr>
          <w:ilvl w:val="1"/>
          <w:numId w:val="21"/>
        </w:numPr>
        <w:tabs>
          <w:tab w:pos="1467" w:val="left" w:leader="none"/>
          <w:tab w:pos="1468" w:val="left" w:leader="none"/>
        </w:tabs>
        <w:spacing w:line="240" w:lineRule="auto" w:before="0" w:after="0"/>
        <w:ind w:left="1467" w:right="0" w:hanging="400"/>
        <w:jc w:val="left"/>
        <w:rPr>
          <w:sz w:val="22"/>
        </w:rPr>
      </w:pPr>
      <w:r>
        <w:rPr>
          <w:b/>
          <w:w w:val="105"/>
          <w:sz w:val="22"/>
          <w:u w:val="single"/>
        </w:rPr>
        <w:t>Classe   2,   con   diritto   di   voto</w:t>
      </w:r>
      <w:r>
        <w:rPr>
          <w:w w:val="105"/>
          <w:sz w:val="22"/>
        </w:rPr>
        <w:t>,   composta   dal</w:t>
      </w:r>
      <w:r>
        <w:rPr>
          <w:spacing w:val="15"/>
          <w:w w:val="105"/>
          <w:sz w:val="22"/>
        </w:rPr>
        <w:t> </w:t>
      </w:r>
      <w:r>
        <w:rPr>
          <w:w w:val="105"/>
          <w:sz w:val="22"/>
        </w:rPr>
        <w:t>creditore</w:t>
      </w:r>
    </w:p>
    <w:p>
      <w:pPr>
        <w:pStyle w:val="BodyText"/>
        <w:spacing w:before="9"/>
        <w:rPr>
          <w:sz w:val="13"/>
        </w:rPr>
      </w:pPr>
    </w:p>
    <w:p>
      <w:pPr>
        <w:pStyle w:val="BodyText"/>
        <w:spacing w:line="491" w:lineRule="auto" w:before="105"/>
        <w:ind w:left="1467" w:right="2196"/>
        <w:jc w:val="both"/>
      </w:pPr>
      <w:r>
        <w:rPr>
          <w:w w:val="105"/>
        </w:rPr>
        <w:t>postergato</w:t>
      </w:r>
      <w:r>
        <w:rPr>
          <w:spacing w:val="-19"/>
          <w:w w:val="105"/>
        </w:rPr>
        <w:t> </w:t>
      </w:r>
      <w:r>
        <w:rPr>
          <w:w w:val="105"/>
        </w:rPr>
        <w:t>volontariamente</w:t>
      </w:r>
      <w:r>
        <w:rPr>
          <w:spacing w:val="-19"/>
          <w:w w:val="105"/>
        </w:rPr>
        <w:t> </w:t>
      </w:r>
      <w:r>
        <w:rPr>
          <w:w w:val="105"/>
        </w:rPr>
        <w:t>Novozymes</w:t>
      </w:r>
      <w:r>
        <w:rPr>
          <w:spacing w:val="-19"/>
          <w:w w:val="105"/>
        </w:rPr>
        <w:t> </w:t>
      </w:r>
      <w:r>
        <w:rPr>
          <w:w w:val="105"/>
        </w:rPr>
        <w:t>A/S,</w:t>
      </w:r>
      <w:r>
        <w:rPr>
          <w:spacing w:val="-19"/>
          <w:w w:val="105"/>
        </w:rPr>
        <w:t> </w:t>
      </w:r>
      <w:r>
        <w:rPr>
          <w:w w:val="105"/>
        </w:rPr>
        <w:t>con</w:t>
      </w:r>
      <w:r>
        <w:rPr>
          <w:spacing w:val="-19"/>
          <w:w w:val="105"/>
        </w:rPr>
        <w:t> </w:t>
      </w:r>
      <w:r>
        <w:rPr>
          <w:w w:val="105"/>
        </w:rPr>
        <w:t>pagamento</w:t>
      </w:r>
      <w:r>
        <w:rPr>
          <w:spacing w:val="-18"/>
          <w:w w:val="105"/>
        </w:rPr>
        <w:t> </w:t>
      </w:r>
      <w:r>
        <w:rPr>
          <w:w w:val="105"/>
        </w:rPr>
        <w:t>in una percentuale minima, non assicurata, pari al 17,92 % del rispettivo credito, da corrispondersi, nei termini e modalità di cui all’impegno di postergazione ed entro il 31 dicembre 2024 (termine ultimo per il pagamento dell’eventuale Earn Out Versalis);</w:t>
      </w:r>
    </w:p>
    <w:p>
      <w:pPr>
        <w:spacing w:after="0" w:line="491" w:lineRule="auto"/>
        <w:jc w:val="both"/>
        <w:sectPr>
          <w:pgSz w:w="12240" w:h="15840"/>
          <w:pgMar w:header="0" w:footer="790" w:top="1500" w:bottom="980" w:left="1720" w:right="1200"/>
        </w:sectPr>
      </w:pPr>
    </w:p>
    <w:p>
      <w:pPr>
        <w:pStyle w:val="ListParagraph"/>
        <w:numPr>
          <w:ilvl w:val="1"/>
          <w:numId w:val="21"/>
        </w:numPr>
        <w:tabs>
          <w:tab w:pos="1467" w:val="left" w:leader="none"/>
          <w:tab w:pos="1468" w:val="left" w:leader="none"/>
        </w:tabs>
        <w:spacing w:line="456" w:lineRule="auto" w:before="105" w:after="0"/>
        <w:ind w:left="1467" w:right="2198" w:hanging="400"/>
        <w:jc w:val="left"/>
        <w:rPr>
          <w:sz w:val="22"/>
        </w:rPr>
      </w:pPr>
      <w:r>
        <w:rPr>
          <w:b/>
          <w:sz w:val="22"/>
          <w:u w:val="single"/>
        </w:rPr>
        <w:t>Classe 3, senza diritto di voto </w:t>
      </w:r>
      <w:r>
        <w:rPr>
          <w:b/>
          <w:i/>
          <w:sz w:val="24"/>
          <w:u w:val="single"/>
        </w:rPr>
        <w:t>ex lege</w:t>
      </w:r>
      <w:r>
        <w:rPr>
          <w:sz w:val="22"/>
        </w:rPr>
        <w:t>, composta dai creditori finanziari </w:t>
      </w:r>
      <w:r>
        <w:rPr>
          <w:i/>
          <w:sz w:val="22"/>
        </w:rPr>
        <w:t>ab origine </w:t>
      </w:r>
      <w:r>
        <w:rPr>
          <w:sz w:val="22"/>
        </w:rPr>
        <w:t>(i.e. M&amp;G Finanziaria e </w:t>
      </w:r>
      <w:r>
        <w:rPr>
          <w:spacing w:val="35"/>
          <w:sz w:val="22"/>
        </w:rPr>
        <w:t> </w:t>
      </w:r>
      <w:r>
        <w:rPr>
          <w:sz w:val="22"/>
        </w:rPr>
        <w:t>M&amp;G);</w:t>
      </w:r>
    </w:p>
    <w:p>
      <w:pPr>
        <w:pStyle w:val="BodyText"/>
        <w:spacing w:line="491" w:lineRule="auto" w:before="37"/>
        <w:ind w:left="400" w:right="2197"/>
        <w:jc w:val="both"/>
      </w:pPr>
      <w:r>
        <w:rPr>
          <w:w w:val="105"/>
        </w:rPr>
        <w:t>il tutto con la precisazione che grazie alla liberazione dei Fondi, nonché grazie all’Impegno Ghisolfi e alle altre utilità “potenziali” previste a Piano, come meglio individuate infra, ivi incluso l’Earn Out Versalis, la soddisfazione prevista a servizio dei creditori potrebbe incrementarsi.</w:t>
      </w:r>
    </w:p>
    <w:p>
      <w:pPr>
        <w:pStyle w:val="BodyText"/>
        <w:ind w:left="476" w:right="2272"/>
        <w:jc w:val="center"/>
      </w:pPr>
      <w:r>
        <w:rPr>
          <w:w w:val="105"/>
        </w:rPr>
        <w:t>* * *</w:t>
      </w:r>
    </w:p>
    <w:p>
      <w:pPr>
        <w:pStyle w:val="BodyText"/>
        <w:spacing w:before="2"/>
        <w:rPr>
          <w:sz w:val="23"/>
        </w:rPr>
      </w:pPr>
    </w:p>
    <w:p>
      <w:pPr>
        <w:pStyle w:val="Heading2"/>
        <w:numPr>
          <w:ilvl w:val="1"/>
          <w:numId w:val="18"/>
        </w:numPr>
        <w:tabs>
          <w:tab w:pos="1067" w:val="left" w:leader="none"/>
        </w:tabs>
        <w:spacing w:line="240" w:lineRule="auto" w:before="0" w:after="0"/>
        <w:ind w:left="1066" w:right="0" w:hanging="666"/>
        <w:jc w:val="both"/>
      </w:pPr>
      <w:bookmarkStart w:name="_TOC_250024" w:id="28"/>
      <w:r>
        <w:rPr>
          <w:w w:val="105"/>
        </w:rPr>
        <w:t>La</w:t>
      </w:r>
      <w:r>
        <w:rPr>
          <w:spacing w:val="-18"/>
          <w:w w:val="105"/>
        </w:rPr>
        <w:t> </w:t>
      </w:r>
      <w:r>
        <w:rPr>
          <w:w w:val="105"/>
        </w:rPr>
        <w:t>Proposta:</w:t>
      </w:r>
      <w:r>
        <w:rPr>
          <w:spacing w:val="-18"/>
          <w:w w:val="105"/>
        </w:rPr>
        <w:t> </w:t>
      </w:r>
      <w:r>
        <w:rPr>
          <w:w w:val="105"/>
        </w:rPr>
        <w:t>le</w:t>
      </w:r>
      <w:r>
        <w:rPr>
          <w:spacing w:val="-17"/>
          <w:w w:val="105"/>
        </w:rPr>
        <w:t> </w:t>
      </w:r>
      <w:r>
        <w:rPr>
          <w:w w:val="105"/>
        </w:rPr>
        <w:t>modalità</w:t>
      </w:r>
      <w:r>
        <w:rPr>
          <w:spacing w:val="-18"/>
          <w:w w:val="105"/>
        </w:rPr>
        <w:t> </w:t>
      </w:r>
      <w:r>
        <w:rPr>
          <w:w w:val="105"/>
        </w:rPr>
        <w:t>di</w:t>
      </w:r>
      <w:r>
        <w:rPr>
          <w:spacing w:val="-18"/>
          <w:w w:val="105"/>
        </w:rPr>
        <w:t> </w:t>
      </w:r>
      <w:r>
        <w:rPr>
          <w:w w:val="105"/>
        </w:rPr>
        <w:t>attuazione</w:t>
      </w:r>
      <w:r>
        <w:rPr>
          <w:spacing w:val="-18"/>
          <w:w w:val="105"/>
        </w:rPr>
        <w:t> </w:t>
      </w:r>
      <w:r>
        <w:rPr>
          <w:w w:val="105"/>
        </w:rPr>
        <w:t>del</w:t>
      </w:r>
      <w:r>
        <w:rPr>
          <w:spacing w:val="-18"/>
          <w:w w:val="105"/>
        </w:rPr>
        <w:t> </w:t>
      </w:r>
      <w:bookmarkEnd w:id="28"/>
      <w:r>
        <w:rPr>
          <w:w w:val="105"/>
        </w:rPr>
        <w:t>Piano</w:t>
      </w:r>
    </w:p>
    <w:p>
      <w:pPr>
        <w:pStyle w:val="BodyText"/>
        <w:rPr>
          <w:b/>
          <w:sz w:val="23"/>
        </w:rPr>
      </w:pPr>
    </w:p>
    <w:p>
      <w:pPr>
        <w:pStyle w:val="BodyText"/>
        <w:spacing w:line="491" w:lineRule="auto" w:before="1"/>
        <w:ind w:left="400" w:right="2193"/>
        <w:jc w:val="both"/>
      </w:pPr>
      <w:r>
        <w:rPr>
          <w:w w:val="105"/>
        </w:rPr>
        <w:t>Come</w:t>
      </w:r>
      <w:r>
        <w:rPr>
          <w:spacing w:val="-13"/>
          <w:w w:val="105"/>
        </w:rPr>
        <w:t> </w:t>
      </w:r>
      <w:r>
        <w:rPr>
          <w:w w:val="105"/>
        </w:rPr>
        <w:t>anticipato</w:t>
      </w:r>
      <w:r>
        <w:rPr>
          <w:spacing w:val="-12"/>
          <w:w w:val="105"/>
        </w:rPr>
        <w:t> </w:t>
      </w:r>
      <w:r>
        <w:rPr>
          <w:w w:val="105"/>
        </w:rPr>
        <w:t>in</w:t>
      </w:r>
      <w:r>
        <w:rPr>
          <w:spacing w:val="-13"/>
          <w:w w:val="105"/>
        </w:rPr>
        <w:t> </w:t>
      </w:r>
      <w:r>
        <w:rPr>
          <w:w w:val="105"/>
        </w:rPr>
        <w:t>premessa,</w:t>
      </w:r>
      <w:r>
        <w:rPr>
          <w:spacing w:val="-12"/>
          <w:w w:val="105"/>
        </w:rPr>
        <w:t> </w:t>
      </w:r>
      <w:r>
        <w:rPr>
          <w:w w:val="105"/>
        </w:rPr>
        <w:t>la</w:t>
      </w:r>
      <w:r>
        <w:rPr>
          <w:spacing w:val="-13"/>
          <w:w w:val="105"/>
        </w:rPr>
        <w:t> </w:t>
      </w:r>
      <w:r>
        <w:rPr>
          <w:w w:val="105"/>
        </w:rPr>
        <w:t>Proposta</w:t>
      </w:r>
      <w:r>
        <w:rPr>
          <w:spacing w:val="-13"/>
          <w:w w:val="105"/>
        </w:rPr>
        <w:t> </w:t>
      </w:r>
      <w:r>
        <w:rPr>
          <w:w w:val="105"/>
        </w:rPr>
        <w:t>prevede</w:t>
      </w:r>
      <w:r>
        <w:rPr>
          <w:spacing w:val="-12"/>
          <w:w w:val="105"/>
        </w:rPr>
        <w:t> </w:t>
      </w:r>
      <w:r>
        <w:rPr>
          <w:w w:val="105"/>
        </w:rPr>
        <w:t>che</w:t>
      </w:r>
      <w:r>
        <w:rPr>
          <w:spacing w:val="-13"/>
          <w:w w:val="105"/>
        </w:rPr>
        <w:t> </w:t>
      </w:r>
      <w:r>
        <w:rPr>
          <w:w w:val="105"/>
        </w:rPr>
        <w:t>l’attivo</w:t>
      </w:r>
      <w:r>
        <w:rPr>
          <w:spacing w:val="-11"/>
          <w:w w:val="105"/>
        </w:rPr>
        <w:t> </w:t>
      </w:r>
      <w:r>
        <w:rPr>
          <w:w w:val="105"/>
        </w:rPr>
        <w:t>concordatario del Piano venga realizzato, nella misura e secondo le modalità di seguito </w:t>
      </w:r>
      <w:r>
        <w:rPr/>
        <w:t>illustrate,</w:t>
      </w:r>
      <w:r>
        <w:rPr>
          <w:spacing w:val="25"/>
        </w:rPr>
        <w:t> </w:t>
      </w:r>
      <w:r>
        <w:rPr/>
        <w:t>attraverso:</w:t>
      </w:r>
    </w:p>
    <w:p>
      <w:pPr>
        <w:pStyle w:val="ListParagraph"/>
        <w:numPr>
          <w:ilvl w:val="0"/>
          <w:numId w:val="22"/>
        </w:numPr>
        <w:tabs>
          <w:tab w:pos="1078" w:val="left" w:leader="none"/>
          <w:tab w:pos="1079" w:val="left" w:leader="none"/>
        </w:tabs>
        <w:spacing w:line="465" w:lineRule="auto" w:before="1" w:after="0"/>
        <w:ind w:left="1078" w:right="2193" w:hanging="340"/>
        <w:jc w:val="left"/>
        <w:rPr>
          <w:sz w:val="22"/>
        </w:rPr>
      </w:pPr>
      <w:r>
        <w:rPr>
          <w:w w:val="105"/>
          <w:sz w:val="22"/>
        </w:rPr>
        <w:t>la cessione del Ramo Biochemtex (unitamente a tutto gli altri rami d’azienda</w:t>
      </w:r>
      <w:r>
        <w:rPr>
          <w:spacing w:val="-28"/>
          <w:w w:val="105"/>
          <w:sz w:val="22"/>
        </w:rPr>
        <w:t> </w:t>
      </w:r>
      <w:r>
        <w:rPr>
          <w:w w:val="105"/>
          <w:sz w:val="22"/>
        </w:rPr>
        <w:t>costituenti</w:t>
      </w:r>
      <w:r>
        <w:rPr>
          <w:spacing w:val="-28"/>
          <w:w w:val="105"/>
          <w:sz w:val="22"/>
        </w:rPr>
        <w:t> </w:t>
      </w:r>
      <w:r>
        <w:rPr>
          <w:w w:val="105"/>
          <w:sz w:val="22"/>
        </w:rPr>
        <w:t>il</w:t>
      </w:r>
      <w:r>
        <w:rPr>
          <w:spacing w:val="-28"/>
          <w:w w:val="105"/>
          <w:sz w:val="22"/>
        </w:rPr>
        <w:t> </w:t>
      </w:r>
      <w:r>
        <w:rPr>
          <w:w w:val="105"/>
          <w:sz w:val="22"/>
        </w:rPr>
        <w:t>“Perimetro</w:t>
      </w:r>
      <w:r>
        <w:rPr>
          <w:spacing w:val="-29"/>
          <w:w w:val="105"/>
          <w:sz w:val="22"/>
        </w:rPr>
        <w:t> </w:t>
      </w:r>
      <w:r>
        <w:rPr>
          <w:w w:val="105"/>
          <w:sz w:val="22"/>
        </w:rPr>
        <w:t>Bio”);</w:t>
      </w:r>
    </w:p>
    <w:p>
      <w:pPr>
        <w:pStyle w:val="ListParagraph"/>
        <w:numPr>
          <w:ilvl w:val="0"/>
          <w:numId w:val="22"/>
        </w:numPr>
        <w:tabs>
          <w:tab w:pos="1078" w:val="left" w:leader="none"/>
          <w:tab w:pos="1079" w:val="left" w:leader="none"/>
        </w:tabs>
        <w:spacing w:line="240" w:lineRule="auto" w:before="28" w:after="0"/>
        <w:ind w:left="1078" w:right="0" w:hanging="340"/>
        <w:jc w:val="left"/>
        <w:rPr>
          <w:sz w:val="22"/>
        </w:rPr>
      </w:pPr>
      <w:r>
        <w:rPr>
          <w:w w:val="105"/>
          <w:sz w:val="22"/>
        </w:rPr>
        <w:t>l’Incasso</w:t>
      </w:r>
      <w:r>
        <w:rPr>
          <w:spacing w:val="-17"/>
          <w:w w:val="105"/>
          <w:sz w:val="22"/>
        </w:rPr>
        <w:t> </w:t>
      </w:r>
      <w:r>
        <w:rPr>
          <w:w w:val="105"/>
          <w:sz w:val="22"/>
        </w:rPr>
        <w:t>dei</w:t>
      </w:r>
      <w:r>
        <w:rPr>
          <w:spacing w:val="-17"/>
          <w:w w:val="105"/>
          <w:sz w:val="22"/>
        </w:rPr>
        <w:t> </w:t>
      </w:r>
      <w:r>
        <w:rPr>
          <w:w w:val="105"/>
          <w:sz w:val="22"/>
        </w:rPr>
        <w:t>Crediti</w:t>
      </w:r>
      <w:r>
        <w:rPr>
          <w:spacing w:val="-17"/>
          <w:w w:val="105"/>
          <w:sz w:val="22"/>
        </w:rPr>
        <w:t> </w:t>
      </w:r>
      <w:r>
        <w:rPr>
          <w:w w:val="105"/>
          <w:sz w:val="22"/>
        </w:rPr>
        <w:t>e</w:t>
      </w:r>
      <w:r>
        <w:rPr>
          <w:spacing w:val="-17"/>
          <w:w w:val="105"/>
          <w:sz w:val="22"/>
        </w:rPr>
        <w:t> </w:t>
      </w:r>
      <w:r>
        <w:rPr>
          <w:w w:val="105"/>
          <w:sz w:val="22"/>
        </w:rPr>
        <w:t>il</w:t>
      </w:r>
      <w:r>
        <w:rPr>
          <w:spacing w:val="-16"/>
          <w:w w:val="105"/>
          <w:sz w:val="22"/>
        </w:rPr>
        <w:t> </w:t>
      </w:r>
      <w:r>
        <w:rPr>
          <w:w w:val="105"/>
          <w:sz w:val="22"/>
        </w:rPr>
        <w:t>realizzo</w:t>
      </w:r>
      <w:r>
        <w:rPr>
          <w:spacing w:val="-17"/>
          <w:w w:val="105"/>
          <w:sz w:val="22"/>
        </w:rPr>
        <w:t> </w:t>
      </w:r>
      <w:r>
        <w:rPr>
          <w:w w:val="105"/>
          <w:sz w:val="22"/>
        </w:rPr>
        <w:t>degli</w:t>
      </w:r>
      <w:r>
        <w:rPr>
          <w:spacing w:val="-17"/>
          <w:w w:val="105"/>
          <w:sz w:val="22"/>
        </w:rPr>
        <w:t> </w:t>
      </w:r>
      <w:r>
        <w:rPr>
          <w:w w:val="105"/>
          <w:sz w:val="22"/>
        </w:rPr>
        <w:t>Altri</w:t>
      </w:r>
      <w:r>
        <w:rPr>
          <w:spacing w:val="-17"/>
          <w:w w:val="105"/>
          <w:sz w:val="22"/>
        </w:rPr>
        <w:t> </w:t>
      </w:r>
      <w:r>
        <w:rPr>
          <w:w w:val="105"/>
          <w:sz w:val="22"/>
        </w:rPr>
        <w:t>Attivi;</w:t>
      </w:r>
    </w:p>
    <w:p>
      <w:pPr>
        <w:pStyle w:val="BodyText"/>
        <w:rPr>
          <w:sz w:val="23"/>
        </w:rPr>
      </w:pPr>
    </w:p>
    <w:p>
      <w:pPr>
        <w:pStyle w:val="ListParagraph"/>
        <w:numPr>
          <w:ilvl w:val="0"/>
          <w:numId w:val="22"/>
        </w:numPr>
        <w:tabs>
          <w:tab w:pos="1078" w:val="left" w:leader="none"/>
          <w:tab w:pos="1079" w:val="left" w:leader="none"/>
        </w:tabs>
        <w:spacing w:line="240" w:lineRule="auto" w:before="1" w:after="0"/>
        <w:ind w:left="1078" w:right="0" w:hanging="340"/>
        <w:jc w:val="left"/>
        <w:rPr>
          <w:sz w:val="22"/>
        </w:rPr>
      </w:pPr>
      <w:r>
        <w:rPr>
          <w:w w:val="105"/>
          <w:sz w:val="22"/>
        </w:rPr>
        <w:t>il</w:t>
      </w:r>
      <w:r>
        <w:rPr>
          <w:spacing w:val="-16"/>
          <w:w w:val="105"/>
          <w:sz w:val="22"/>
        </w:rPr>
        <w:t> </w:t>
      </w:r>
      <w:r>
        <w:rPr>
          <w:w w:val="105"/>
          <w:sz w:val="22"/>
        </w:rPr>
        <w:t>Piano</w:t>
      </w:r>
      <w:r>
        <w:rPr>
          <w:spacing w:val="-16"/>
          <w:w w:val="105"/>
          <w:sz w:val="22"/>
        </w:rPr>
        <w:t> </w:t>
      </w:r>
      <w:r>
        <w:rPr>
          <w:w w:val="105"/>
          <w:sz w:val="22"/>
        </w:rPr>
        <w:t>di</w:t>
      </w:r>
      <w:r>
        <w:rPr>
          <w:spacing w:val="-16"/>
          <w:w w:val="105"/>
          <w:sz w:val="22"/>
        </w:rPr>
        <w:t> </w:t>
      </w:r>
      <w:r>
        <w:rPr>
          <w:w w:val="105"/>
          <w:sz w:val="22"/>
        </w:rPr>
        <w:t>Cassa;</w:t>
      </w:r>
    </w:p>
    <w:p>
      <w:pPr>
        <w:pStyle w:val="BodyText"/>
        <w:spacing w:before="3"/>
        <w:rPr>
          <w:sz w:val="23"/>
        </w:rPr>
      </w:pPr>
    </w:p>
    <w:p>
      <w:pPr>
        <w:pStyle w:val="ListParagraph"/>
        <w:numPr>
          <w:ilvl w:val="0"/>
          <w:numId w:val="22"/>
        </w:numPr>
        <w:tabs>
          <w:tab w:pos="1078" w:val="left" w:leader="none"/>
          <w:tab w:pos="1079" w:val="left" w:leader="none"/>
        </w:tabs>
        <w:spacing w:line="240" w:lineRule="auto" w:before="0" w:after="0"/>
        <w:ind w:left="1078" w:right="0" w:hanging="340"/>
        <w:jc w:val="left"/>
        <w:rPr>
          <w:sz w:val="22"/>
        </w:rPr>
      </w:pPr>
      <w:r>
        <w:rPr>
          <w:w w:val="105"/>
          <w:sz w:val="22"/>
        </w:rPr>
        <w:t>la</w:t>
      </w:r>
      <w:r>
        <w:rPr>
          <w:spacing w:val="-28"/>
          <w:w w:val="105"/>
          <w:sz w:val="22"/>
        </w:rPr>
        <w:t> </w:t>
      </w:r>
      <w:r>
        <w:rPr>
          <w:w w:val="105"/>
          <w:sz w:val="22"/>
        </w:rPr>
        <w:t>cessione</w:t>
      </w:r>
      <w:r>
        <w:rPr>
          <w:spacing w:val="-29"/>
          <w:w w:val="105"/>
          <w:sz w:val="22"/>
        </w:rPr>
        <w:t> </w:t>
      </w:r>
      <w:r>
        <w:rPr>
          <w:w w:val="105"/>
          <w:sz w:val="22"/>
        </w:rPr>
        <w:t>dell’Immobile</w:t>
      </w:r>
      <w:r>
        <w:rPr>
          <w:spacing w:val="-28"/>
          <w:w w:val="105"/>
          <w:sz w:val="22"/>
        </w:rPr>
        <w:t> </w:t>
      </w:r>
      <w:r>
        <w:rPr>
          <w:w w:val="105"/>
          <w:sz w:val="22"/>
        </w:rPr>
        <w:t>Modugno;</w:t>
      </w:r>
    </w:p>
    <w:p>
      <w:pPr>
        <w:pStyle w:val="BodyText"/>
        <w:spacing w:before="2"/>
        <w:rPr>
          <w:sz w:val="23"/>
        </w:rPr>
      </w:pPr>
    </w:p>
    <w:p>
      <w:pPr>
        <w:pStyle w:val="ListParagraph"/>
        <w:numPr>
          <w:ilvl w:val="0"/>
          <w:numId w:val="22"/>
        </w:numPr>
        <w:tabs>
          <w:tab w:pos="1078" w:val="left" w:leader="none"/>
          <w:tab w:pos="1079" w:val="left" w:leader="none"/>
        </w:tabs>
        <w:spacing w:line="240" w:lineRule="auto" w:before="1" w:after="0"/>
        <w:ind w:left="1078" w:right="0" w:hanging="340"/>
        <w:jc w:val="left"/>
        <w:rPr>
          <w:sz w:val="22"/>
        </w:rPr>
      </w:pPr>
      <w:r>
        <w:rPr>
          <w:sz w:val="22"/>
        </w:rPr>
        <w:t>l’Impegno</w:t>
      </w:r>
      <w:r>
        <w:rPr>
          <w:spacing w:val="42"/>
          <w:sz w:val="22"/>
        </w:rPr>
        <w:t> </w:t>
      </w:r>
      <w:r>
        <w:rPr>
          <w:sz w:val="22"/>
        </w:rPr>
        <w:t>Ghisolfi;</w:t>
      </w:r>
    </w:p>
    <w:p>
      <w:pPr>
        <w:pStyle w:val="BodyText"/>
        <w:spacing w:before="2"/>
        <w:rPr>
          <w:sz w:val="23"/>
        </w:rPr>
      </w:pPr>
    </w:p>
    <w:p>
      <w:pPr>
        <w:pStyle w:val="ListParagraph"/>
        <w:numPr>
          <w:ilvl w:val="0"/>
          <w:numId w:val="22"/>
        </w:numPr>
        <w:tabs>
          <w:tab w:pos="1078" w:val="left" w:leader="none"/>
          <w:tab w:pos="1079" w:val="left" w:leader="none"/>
        </w:tabs>
        <w:spacing w:line="240" w:lineRule="auto" w:before="0" w:after="0"/>
        <w:ind w:left="1078" w:right="0" w:hanging="340"/>
        <w:jc w:val="left"/>
        <w:rPr>
          <w:sz w:val="22"/>
        </w:rPr>
      </w:pPr>
      <w:r>
        <w:rPr>
          <w:sz w:val="22"/>
        </w:rPr>
        <w:t>la Postergazione</w:t>
      </w:r>
      <w:r>
        <w:rPr>
          <w:spacing w:val="44"/>
          <w:sz w:val="22"/>
        </w:rPr>
        <w:t> </w:t>
      </w:r>
      <w:r>
        <w:rPr>
          <w:sz w:val="22"/>
        </w:rPr>
        <w:t>Novozymes;</w:t>
      </w:r>
    </w:p>
    <w:p>
      <w:pPr>
        <w:pStyle w:val="BodyText"/>
        <w:spacing w:before="1"/>
        <w:rPr>
          <w:sz w:val="23"/>
        </w:rPr>
      </w:pPr>
    </w:p>
    <w:p>
      <w:pPr>
        <w:pStyle w:val="ListParagraph"/>
        <w:numPr>
          <w:ilvl w:val="0"/>
          <w:numId w:val="22"/>
        </w:numPr>
        <w:tabs>
          <w:tab w:pos="1078" w:val="left" w:leader="none"/>
          <w:tab w:pos="1079" w:val="left" w:leader="none"/>
        </w:tabs>
        <w:spacing w:line="240" w:lineRule="auto" w:before="1" w:after="0"/>
        <w:ind w:left="1078" w:right="0" w:hanging="340"/>
        <w:jc w:val="left"/>
        <w:rPr>
          <w:sz w:val="22"/>
        </w:rPr>
      </w:pPr>
      <w:r>
        <w:rPr>
          <w:w w:val="105"/>
          <w:sz w:val="22"/>
        </w:rPr>
        <w:t>l’Impegno</w:t>
      </w:r>
      <w:r>
        <w:rPr>
          <w:spacing w:val="-29"/>
          <w:w w:val="105"/>
          <w:sz w:val="22"/>
        </w:rPr>
        <w:t> </w:t>
      </w:r>
      <w:r>
        <w:rPr>
          <w:w w:val="105"/>
          <w:sz w:val="22"/>
        </w:rPr>
        <w:t>Eredi</w:t>
      </w:r>
      <w:r>
        <w:rPr>
          <w:spacing w:val="-29"/>
          <w:w w:val="105"/>
          <w:sz w:val="22"/>
        </w:rPr>
        <w:t> </w:t>
      </w:r>
      <w:r>
        <w:rPr>
          <w:w w:val="105"/>
          <w:sz w:val="22"/>
        </w:rPr>
        <w:t>Ghisolfi;</w:t>
      </w:r>
    </w:p>
    <w:p>
      <w:pPr>
        <w:pStyle w:val="BodyText"/>
        <w:spacing w:before="3"/>
        <w:rPr>
          <w:sz w:val="23"/>
        </w:rPr>
      </w:pPr>
    </w:p>
    <w:p>
      <w:pPr>
        <w:pStyle w:val="ListParagraph"/>
        <w:numPr>
          <w:ilvl w:val="0"/>
          <w:numId w:val="22"/>
        </w:numPr>
        <w:tabs>
          <w:tab w:pos="1078" w:val="left" w:leader="none"/>
          <w:tab w:pos="1079" w:val="left" w:leader="none"/>
        </w:tabs>
        <w:spacing w:line="240" w:lineRule="auto" w:before="0" w:after="0"/>
        <w:ind w:left="1078" w:right="0" w:hanging="340"/>
        <w:jc w:val="left"/>
        <w:rPr>
          <w:sz w:val="22"/>
        </w:rPr>
      </w:pPr>
      <w:r>
        <w:rPr>
          <w:w w:val="105"/>
          <w:sz w:val="22"/>
        </w:rPr>
        <w:t>la</w:t>
      </w:r>
      <w:r>
        <w:rPr>
          <w:spacing w:val="-30"/>
          <w:w w:val="105"/>
          <w:sz w:val="22"/>
        </w:rPr>
        <w:t> </w:t>
      </w:r>
      <w:r>
        <w:rPr>
          <w:w w:val="105"/>
          <w:sz w:val="22"/>
        </w:rPr>
        <w:t>Transazione</w:t>
      </w:r>
      <w:r>
        <w:rPr>
          <w:spacing w:val="-31"/>
          <w:w w:val="105"/>
          <w:sz w:val="22"/>
        </w:rPr>
        <w:t> </w:t>
      </w:r>
      <w:r>
        <w:rPr>
          <w:w w:val="105"/>
          <w:sz w:val="22"/>
        </w:rPr>
        <w:t>Granbio;</w:t>
      </w:r>
    </w:p>
    <w:p>
      <w:pPr>
        <w:pStyle w:val="BodyText"/>
        <w:spacing w:before="1"/>
        <w:rPr>
          <w:sz w:val="23"/>
        </w:rPr>
      </w:pPr>
    </w:p>
    <w:p>
      <w:pPr>
        <w:pStyle w:val="ListParagraph"/>
        <w:numPr>
          <w:ilvl w:val="0"/>
          <w:numId w:val="22"/>
        </w:numPr>
        <w:tabs>
          <w:tab w:pos="1078" w:val="left" w:leader="none"/>
          <w:tab w:pos="1079" w:val="left" w:leader="none"/>
        </w:tabs>
        <w:spacing w:line="465" w:lineRule="auto" w:before="0" w:after="0"/>
        <w:ind w:left="1078" w:right="2196" w:hanging="340"/>
        <w:jc w:val="left"/>
        <w:rPr>
          <w:sz w:val="22"/>
        </w:rPr>
      </w:pPr>
      <w:r>
        <w:rPr>
          <w:w w:val="105"/>
          <w:sz w:val="22"/>
        </w:rPr>
        <w:t>la trasformazione della Società in s.r.l., con conseguente risparmio sui</w:t>
      </w:r>
      <w:r>
        <w:rPr>
          <w:spacing w:val="-17"/>
          <w:w w:val="105"/>
          <w:sz w:val="22"/>
        </w:rPr>
        <w:t> </w:t>
      </w:r>
      <w:r>
        <w:rPr>
          <w:w w:val="105"/>
          <w:sz w:val="22"/>
        </w:rPr>
        <w:t>costi</w:t>
      </w:r>
      <w:r>
        <w:rPr>
          <w:spacing w:val="-18"/>
          <w:w w:val="105"/>
          <w:sz w:val="22"/>
        </w:rPr>
        <w:t> </w:t>
      </w:r>
      <w:r>
        <w:rPr>
          <w:w w:val="105"/>
          <w:sz w:val="22"/>
        </w:rPr>
        <w:t>fissi</w:t>
      </w:r>
      <w:r>
        <w:rPr>
          <w:spacing w:val="-17"/>
          <w:w w:val="105"/>
          <w:sz w:val="22"/>
        </w:rPr>
        <w:t> </w:t>
      </w:r>
      <w:r>
        <w:rPr>
          <w:w w:val="105"/>
          <w:sz w:val="22"/>
        </w:rPr>
        <w:t>della</w:t>
      </w:r>
      <w:r>
        <w:rPr>
          <w:spacing w:val="-17"/>
          <w:w w:val="105"/>
          <w:sz w:val="22"/>
        </w:rPr>
        <w:t> </w:t>
      </w:r>
      <w:r>
        <w:rPr>
          <w:w w:val="105"/>
          <w:sz w:val="22"/>
        </w:rPr>
        <w:t>struttura</w:t>
      </w:r>
      <w:r>
        <w:rPr>
          <w:spacing w:val="-18"/>
          <w:w w:val="105"/>
          <w:sz w:val="22"/>
        </w:rPr>
        <w:t> </w:t>
      </w:r>
      <w:r>
        <w:rPr>
          <w:w w:val="105"/>
          <w:sz w:val="22"/>
        </w:rPr>
        <w:t>societaria;</w:t>
      </w:r>
    </w:p>
    <w:p>
      <w:pPr>
        <w:pStyle w:val="ListParagraph"/>
        <w:numPr>
          <w:ilvl w:val="0"/>
          <w:numId w:val="22"/>
        </w:numPr>
        <w:tabs>
          <w:tab w:pos="1078" w:val="left" w:leader="none"/>
          <w:tab w:pos="1079" w:val="left" w:leader="none"/>
        </w:tabs>
        <w:spacing w:line="240" w:lineRule="auto" w:before="27" w:after="0"/>
        <w:ind w:left="1078" w:right="0" w:hanging="340"/>
        <w:jc w:val="left"/>
        <w:rPr>
          <w:sz w:val="22"/>
        </w:rPr>
      </w:pPr>
      <w:r>
        <w:rPr>
          <w:w w:val="105"/>
          <w:sz w:val="22"/>
        </w:rPr>
        <w:t>il</w:t>
      </w:r>
      <w:r>
        <w:rPr>
          <w:spacing w:val="-19"/>
          <w:w w:val="105"/>
          <w:sz w:val="22"/>
        </w:rPr>
        <w:t> </w:t>
      </w:r>
      <w:r>
        <w:rPr>
          <w:w w:val="105"/>
          <w:sz w:val="22"/>
        </w:rPr>
        <w:t>Piano</w:t>
      </w:r>
      <w:r>
        <w:rPr>
          <w:spacing w:val="-19"/>
          <w:w w:val="105"/>
          <w:sz w:val="22"/>
        </w:rPr>
        <w:t> </w:t>
      </w:r>
      <w:r>
        <w:rPr>
          <w:w w:val="105"/>
          <w:sz w:val="22"/>
        </w:rPr>
        <w:t>di</w:t>
      </w:r>
      <w:r>
        <w:rPr>
          <w:spacing w:val="-19"/>
          <w:w w:val="105"/>
          <w:sz w:val="22"/>
        </w:rPr>
        <w:t> </w:t>
      </w:r>
      <w:r>
        <w:rPr>
          <w:w w:val="105"/>
          <w:sz w:val="22"/>
        </w:rPr>
        <w:t>Ripagamento.</w:t>
      </w:r>
    </w:p>
    <w:p>
      <w:pPr>
        <w:spacing w:after="0" w:line="240" w:lineRule="auto"/>
        <w:jc w:val="left"/>
        <w:rPr>
          <w:sz w:val="22"/>
        </w:rPr>
        <w:sectPr>
          <w:pgSz w:w="12240" w:h="15840"/>
          <w:pgMar w:header="0" w:footer="790" w:top="1500" w:bottom="980" w:left="1720" w:right="1200"/>
        </w:sectPr>
      </w:pPr>
    </w:p>
    <w:p>
      <w:pPr>
        <w:pStyle w:val="BodyText"/>
        <w:spacing w:line="491" w:lineRule="auto" w:before="105"/>
        <w:ind w:left="400" w:right="2197"/>
        <w:jc w:val="both"/>
      </w:pPr>
      <w:r>
        <w:rPr>
          <w:w w:val="105"/>
        </w:rPr>
        <w:t>Queste modalità di realizzo dell’attivo verranno esaminate nei successivi paragrafi.</w:t>
      </w:r>
    </w:p>
    <w:p>
      <w:pPr>
        <w:pStyle w:val="BodyText"/>
        <w:spacing w:before="1"/>
        <w:ind w:left="476" w:right="2272"/>
        <w:jc w:val="center"/>
      </w:pPr>
      <w:r>
        <w:rPr>
          <w:w w:val="105"/>
        </w:rPr>
        <w:t>* * *</w:t>
      </w:r>
    </w:p>
    <w:p>
      <w:pPr>
        <w:pStyle w:val="BodyText"/>
        <w:spacing w:before="6"/>
        <w:rPr>
          <w:sz w:val="21"/>
        </w:rPr>
      </w:pPr>
    </w:p>
    <w:p>
      <w:pPr>
        <w:pStyle w:val="Heading2"/>
        <w:numPr>
          <w:ilvl w:val="1"/>
          <w:numId w:val="18"/>
        </w:numPr>
        <w:tabs>
          <w:tab w:pos="1067" w:val="left" w:leader="none"/>
        </w:tabs>
        <w:spacing w:line="240" w:lineRule="auto" w:before="0" w:after="0"/>
        <w:ind w:left="1066" w:right="0" w:hanging="666"/>
        <w:jc w:val="both"/>
      </w:pPr>
      <w:bookmarkStart w:name="_TOC_250023" w:id="29"/>
      <w:r>
        <w:rPr>
          <w:i/>
          <w:sz w:val="24"/>
          <w:u w:val="single"/>
        </w:rPr>
        <w:t>Segue</w:t>
      </w:r>
      <w:r>
        <w:rPr>
          <w:u w:val="single"/>
        </w:rPr>
        <w:t>: la cessione del Ramo</w:t>
      </w:r>
      <w:r>
        <w:rPr>
          <w:spacing w:val="38"/>
          <w:u w:val="single"/>
        </w:rPr>
        <w:t> </w:t>
      </w:r>
      <w:bookmarkEnd w:id="29"/>
      <w:r>
        <w:rPr>
          <w:u w:val="single"/>
        </w:rPr>
        <w:t>Biochemtex</w:t>
      </w:r>
    </w:p>
    <w:p>
      <w:pPr>
        <w:pStyle w:val="BodyText"/>
        <w:spacing w:before="6"/>
        <w:rPr>
          <w:b/>
        </w:rPr>
      </w:pPr>
    </w:p>
    <w:p>
      <w:pPr>
        <w:pStyle w:val="BodyText"/>
        <w:spacing w:line="491" w:lineRule="auto"/>
        <w:ind w:left="400" w:right="2195"/>
        <w:jc w:val="both"/>
      </w:pPr>
      <w:r>
        <w:rPr>
          <w:w w:val="105"/>
        </w:rPr>
        <w:t>Riguardo</w:t>
      </w:r>
      <w:r>
        <w:rPr>
          <w:spacing w:val="-15"/>
          <w:w w:val="105"/>
        </w:rPr>
        <w:t> </w:t>
      </w:r>
      <w:r>
        <w:rPr>
          <w:w w:val="105"/>
        </w:rPr>
        <w:t>alle</w:t>
      </w:r>
      <w:r>
        <w:rPr>
          <w:spacing w:val="-15"/>
          <w:w w:val="105"/>
        </w:rPr>
        <w:t> </w:t>
      </w:r>
      <w:r>
        <w:rPr>
          <w:w w:val="105"/>
        </w:rPr>
        <w:t>concrete</w:t>
      </w:r>
      <w:r>
        <w:rPr>
          <w:spacing w:val="-16"/>
          <w:w w:val="105"/>
        </w:rPr>
        <w:t> </w:t>
      </w:r>
      <w:r>
        <w:rPr>
          <w:w w:val="105"/>
        </w:rPr>
        <w:t>modalità</w:t>
      </w:r>
      <w:r>
        <w:rPr>
          <w:spacing w:val="-15"/>
          <w:w w:val="105"/>
        </w:rPr>
        <w:t> </w:t>
      </w:r>
      <w:r>
        <w:rPr>
          <w:w w:val="105"/>
        </w:rPr>
        <w:t>di</w:t>
      </w:r>
      <w:r>
        <w:rPr>
          <w:spacing w:val="-15"/>
          <w:w w:val="105"/>
        </w:rPr>
        <w:t> </w:t>
      </w:r>
      <w:r>
        <w:rPr>
          <w:w w:val="105"/>
        </w:rPr>
        <w:t>cessione</w:t>
      </w:r>
      <w:r>
        <w:rPr>
          <w:spacing w:val="-16"/>
          <w:w w:val="105"/>
        </w:rPr>
        <w:t> </w:t>
      </w:r>
      <w:r>
        <w:rPr>
          <w:w w:val="105"/>
        </w:rPr>
        <w:t>del</w:t>
      </w:r>
      <w:r>
        <w:rPr>
          <w:spacing w:val="-15"/>
          <w:w w:val="105"/>
        </w:rPr>
        <w:t> </w:t>
      </w:r>
      <w:r>
        <w:rPr>
          <w:w w:val="105"/>
        </w:rPr>
        <w:t>Ramo</w:t>
      </w:r>
      <w:r>
        <w:rPr>
          <w:spacing w:val="-15"/>
          <w:w w:val="105"/>
        </w:rPr>
        <w:t> </w:t>
      </w:r>
      <w:r>
        <w:rPr>
          <w:w w:val="105"/>
        </w:rPr>
        <w:t>Biochemtex,</w:t>
      </w:r>
      <w:r>
        <w:rPr>
          <w:spacing w:val="-15"/>
          <w:w w:val="105"/>
        </w:rPr>
        <w:t> </w:t>
      </w:r>
      <w:r>
        <w:rPr>
          <w:w w:val="105"/>
        </w:rPr>
        <w:t>la</w:t>
      </w:r>
      <w:r>
        <w:rPr>
          <w:spacing w:val="-16"/>
          <w:w w:val="105"/>
        </w:rPr>
        <w:t> </w:t>
      </w:r>
      <w:r>
        <w:rPr>
          <w:w w:val="105"/>
        </w:rPr>
        <w:t>Società propone di procedere, anche prima del Decreto di Omologazione, sollecitando il mercato a proporre offerte, mediante procedura competitiva in ossequio alle previsioni della legge fallimentare, sulla base dell’Offerta Versalis.</w:t>
      </w:r>
    </w:p>
    <w:p>
      <w:pPr>
        <w:spacing w:line="491" w:lineRule="auto" w:before="0"/>
        <w:ind w:left="400" w:right="2194" w:firstLine="0"/>
        <w:jc w:val="both"/>
        <w:rPr>
          <w:sz w:val="22"/>
        </w:rPr>
      </w:pPr>
      <w:r>
        <w:rPr>
          <w:w w:val="105"/>
          <w:sz w:val="22"/>
        </w:rPr>
        <w:t>In vista dell’organizzazione dell’asta competitiva, occorre rammentare che, su richiesta del Tribunale, Versalis ha precisato, con comunicazione del 22 marzo 2018, che “</w:t>
      </w:r>
      <w:r>
        <w:rPr>
          <w:i/>
          <w:w w:val="105"/>
          <w:sz w:val="22"/>
        </w:rPr>
        <w:t>ai fini di chiarezza e come già indicato nella lettera dei nostri legali </w:t>
      </w:r>
      <w:r>
        <w:rPr>
          <w:i/>
          <w:w w:val="105"/>
          <w:sz w:val="22"/>
        </w:rPr>
        <w:t>in</w:t>
      </w:r>
      <w:r>
        <w:rPr>
          <w:i/>
          <w:spacing w:val="-4"/>
          <w:w w:val="105"/>
          <w:sz w:val="22"/>
        </w:rPr>
        <w:t> </w:t>
      </w:r>
      <w:r>
        <w:rPr>
          <w:i/>
          <w:w w:val="105"/>
          <w:sz w:val="22"/>
        </w:rPr>
        <w:t>data</w:t>
      </w:r>
      <w:r>
        <w:rPr>
          <w:i/>
          <w:spacing w:val="-5"/>
          <w:w w:val="105"/>
          <w:sz w:val="22"/>
        </w:rPr>
        <w:t> </w:t>
      </w:r>
      <w:r>
        <w:rPr>
          <w:i/>
          <w:w w:val="105"/>
          <w:sz w:val="22"/>
        </w:rPr>
        <w:t>19</w:t>
      </w:r>
      <w:r>
        <w:rPr>
          <w:i/>
          <w:spacing w:val="-4"/>
          <w:w w:val="105"/>
          <w:sz w:val="22"/>
        </w:rPr>
        <w:t> </w:t>
      </w:r>
      <w:r>
        <w:rPr>
          <w:i/>
          <w:w w:val="105"/>
          <w:sz w:val="22"/>
        </w:rPr>
        <w:t>marzo</w:t>
      </w:r>
      <w:r>
        <w:rPr>
          <w:i/>
          <w:spacing w:val="-4"/>
          <w:w w:val="105"/>
          <w:sz w:val="22"/>
        </w:rPr>
        <w:t> </w:t>
      </w:r>
      <w:r>
        <w:rPr>
          <w:i/>
          <w:w w:val="105"/>
          <w:sz w:val="22"/>
        </w:rPr>
        <w:t>u.s.,</w:t>
      </w:r>
      <w:r>
        <w:rPr>
          <w:i/>
          <w:spacing w:val="-3"/>
          <w:w w:val="105"/>
          <w:sz w:val="22"/>
        </w:rPr>
        <w:t> </w:t>
      </w:r>
      <w:r>
        <w:rPr>
          <w:i/>
          <w:w w:val="105"/>
          <w:sz w:val="22"/>
        </w:rPr>
        <w:t>segnaliamo</w:t>
      </w:r>
      <w:r>
        <w:rPr>
          <w:i/>
          <w:spacing w:val="-5"/>
          <w:w w:val="105"/>
          <w:sz w:val="22"/>
        </w:rPr>
        <w:t> </w:t>
      </w:r>
      <w:r>
        <w:rPr>
          <w:i/>
          <w:w w:val="105"/>
          <w:sz w:val="22"/>
        </w:rPr>
        <w:t>che</w:t>
      </w:r>
      <w:r>
        <w:rPr>
          <w:i/>
          <w:spacing w:val="-3"/>
          <w:w w:val="105"/>
          <w:sz w:val="22"/>
        </w:rPr>
        <w:t> </w:t>
      </w:r>
      <w:r>
        <w:rPr>
          <w:i/>
          <w:w w:val="105"/>
          <w:sz w:val="22"/>
        </w:rPr>
        <w:t>l’Offerta</w:t>
      </w:r>
      <w:r>
        <w:rPr>
          <w:i/>
          <w:spacing w:val="-4"/>
          <w:w w:val="105"/>
          <w:sz w:val="22"/>
        </w:rPr>
        <w:t> </w:t>
      </w:r>
      <w:r>
        <w:rPr>
          <w:i/>
          <w:w w:val="105"/>
          <w:sz w:val="22"/>
        </w:rPr>
        <w:t>è</w:t>
      </w:r>
      <w:r>
        <w:rPr>
          <w:i/>
          <w:spacing w:val="-5"/>
          <w:w w:val="105"/>
          <w:sz w:val="22"/>
        </w:rPr>
        <w:t> </w:t>
      </w:r>
      <w:r>
        <w:rPr>
          <w:i/>
          <w:w w:val="105"/>
          <w:sz w:val="22"/>
        </w:rPr>
        <w:t>da</w:t>
      </w:r>
      <w:r>
        <w:rPr>
          <w:i/>
          <w:spacing w:val="-5"/>
          <w:w w:val="105"/>
          <w:sz w:val="22"/>
        </w:rPr>
        <w:t> </w:t>
      </w:r>
      <w:r>
        <w:rPr>
          <w:i/>
          <w:w w:val="105"/>
          <w:sz w:val="22"/>
        </w:rPr>
        <w:t>intendersi</w:t>
      </w:r>
      <w:r>
        <w:rPr>
          <w:i/>
          <w:spacing w:val="-5"/>
          <w:w w:val="105"/>
          <w:sz w:val="22"/>
        </w:rPr>
        <w:t> </w:t>
      </w:r>
      <w:r>
        <w:rPr>
          <w:i/>
          <w:w w:val="105"/>
          <w:sz w:val="22"/>
        </w:rPr>
        <w:t>confermata</w:t>
      </w:r>
      <w:r>
        <w:rPr>
          <w:i/>
          <w:spacing w:val="-4"/>
          <w:w w:val="105"/>
          <w:sz w:val="22"/>
        </w:rPr>
        <w:t> </w:t>
      </w:r>
      <w:r>
        <w:rPr>
          <w:i/>
          <w:w w:val="105"/>
          <w:sz w:val="22"/>
        </w:rPr>
        <w:t>–</w:t>
      </w:r>
      <w:r>
        <w:rPr>
          <w:i/>
          <w:spacing w:val="-4"/>
          <w:w w:val="105"/>
          <w:sz w:val="22"/>
        </w:rPr>
        <w:t> </w:t>
      </w:r>
      <w:r>
        <w:rPr>
          <w:i/>
          <w:w w:val="105"/>
          <w:sz w:val="22"/>
        </w:rPr>
        <w:t>oltre</w:t>
      </w:r>
      <w:r>
        <w:rPr>
          <w:i/>
          <w:spacing w:val="-4"/>
          <w:w w:val="105"/>
          <w:sz w:val="22"/>
        </w:rPr>
        <w:t> </w:t>
      </w:r>
      <w:r>
        <w:rPr>
          <w:i/>
          <w:w w:val="105"/>
          <w:sz w:val="22"/>
        </w:rPr>
        <w:t>che</w:t>
      </w:r>
      <w:r>
        <w:rPr>
          <w:i/>
          <w:spacing w:val="-3"/>
          <w:w w:val="105"/>
          <w:sz w:val="22"/>
        </w:rPr>
        <w:t> </w:t>
      </w:r>
      <w:r>
        <w:rPr>
          <w:i/>
          <w:w w:val="105"/>
          <w:sz w:val="22"/>
        </w:rPr>
        <w:t>nel caso</w:t>
      </w:r>
      <w:r>
        <w:rPr>
          <w:i/>
          <w:spacing w:val="-9"/>
          <w:w w:val="105"/>
          <w:sz w:val="22"/>
        </w:rPr>
        <w:t> </w:t>
      </w:r>
      <w:r>
        <w:rPr>
          <w:i/>
          <w:w w:val="105"/>
          <w:sz w:val="22"/>
        </w:rPr>
        <w:t>di</w:t>
      </w:r>
      <w:r>
        <w:rPr>
          <w:i/>
          <w:spacing w:val="-8"/>
          <w:w w:val="105"/>
          <w:sz w:val="22"/>
        </w:rPr>
        <w:t> </w:t>
      </w:r>
      <w:r>
        <w:rPr>
          <w:i/>
          <w:w w:val="105"/>
          <w:sz w:val="22"/>
        </w:rPr>
        <w:t>concessione</w:t>
      </w:r>
      <w:r>
        <w:rPr>
          <w:i/>
          <w:spacing w:val="-8"/>
          <w:w w:val="105"/>
          <w:sz w:val="22"/>
        </w:rPr>
        <w:t> </w:t>
      </w:r>
      <w:r>
        <w:rPr>
          <w:i/>
          <w:w w:val="105"/>
          <w:sz w:val="22"/>
        </w:rPr>
        <w:t>del</w:t>
      </w:r>
      <w:r>
        <w:rPr>
          <w:i/>
          <w:spacing w:val="-7"/>
          <w:w w:val="105"/>
          <w:sz w:val="22"/>
        </w:rPr>
        <w:t> </w:t>
      </w:r>
      <w:r>
        <w:rPr>
          <w:i/>
          <w:w w:val="105"/>
          <w:sz w:val="22"/>
        </w:rPr>
        <w:t>diritto</w:t>
      </w:r>
      <w:r>
        <w:rPr>
          <w:i/>
          <w:spacing w:val="-7"/>
          <w:w w:val="105"/>
          <w:sz w:val="22"/>
        </w:rPr>
        <w:t> </w:t>
      </w:r>
      <w:r>
        <w:rPr>
          <w:i/>
          <w:w w:val="105"/>
          <w:sz w:val="22"/>
        </w:rPr>
        <w:t>di</w:t>
      </w:r>
      <w:r>
        <w:rPr>
          <w:i/>
          <w:spacing w:val="-8"/>
          <w:w w:val="105"/>
          <w:sz w:val="22"/>
        </w:rPr>
        <w:t> </w:t>
      </w:r>
      <w:r>
        <w:rPr>
          <w:i/>
          <w:w w:val="105"/>
          <w:sz w:val="22"/>
        </w:rPr>
        <w:t>pareggio</w:t>
      </w:r>
      <w:r>
        <w:rPr>
          <w:i/>
          <w:spacing w:val="-7"/>
          <w:w w:val="105"/>
          <w:sz w:val="22"/>
        </w:rPr>
        <w:t> </w:t>
      </w:r>
      <w:r>
        <w:rPr>
          <w:i/>
          <w:w w:val="105"/>
          <w:sz w:val="22"/>
        </w:rPr>
        <w:t>o</w:t>
      </w:r>
      <w:r>
        <w:rPr>
          <w:i/>
          <w:spacing w:val="-8"/>
          <w:w w:val="105"/>
          <w:sz w:val="22"/>
        </w:rPr>
        <w:t> </w:t>
      </w:r>
      <w:r>
        <w:rPr>
          <w:i/>
          <w:w w:val="105"/>
          <w:sz w:val="22"/>
        </w:rPr>
        <w:t>di</w:t>
      </w:r>
      <w:r>
        <w:rPr>
          <w:i/>
          <w:spacing w:val="-7"/>
          <w:w w:val="105"/>
          <w:sz w:val="22"/>
        </w:rPr>
        <w:t> </w:t>
      </w:r>
      <w:r>
        <w:rPr>
          <w:i/>
          <w:w w:val="105"/>
          <w:sz w:val="22"/>
        </w:rPr>
        <w:t>rilancio</w:t>
      </w:r>
      <w:r>
        <w:rPr>
          <w:i/>
          <w:spacing w:val="-8"/>
          <w:w w:val="105"/>
          <w:sz w:val="22"/>
        </w:rPr>
        <w:t> </w:t>
      </w:r>
      <w:r>
        <w:rPr>
          <w:i/>
          <w:w w:val="105"/>
          <w:sz w:val="22"/>
        </w:rPr>
        <w:t>–</w:t>
      </w:r>
      <w:r>
        <w:rPr>
          <w:i/>
          <w:spacing w:val="-7"/>
          <w:w w:val="105"/>
          <w:sz w:val="22"/>
        </w:rPr>
        <w:t> </w:t>
      </w:r>
      <w:r>
        <w:rPr>
          <w:i/>
          <w:w w:val="105"/>
          <w:sz w:val="22"/>
        </w:rPr>
        <w:t>anche</w:t>
      </w:r>
      <w:r>
        <w:rPr>
          <w:i/>
          <w:spacing w:val="-7"/>
          <w:w w:val="105"/>
          <w:sz w:val="22"/>
        </w:rPr>
        <w:t> </w:t>
      </w:r>
      <w:r>
        <w:rPr>
          <w:i/>
          <w:w w:val="105"/>
          <w:sz w:val="22"/>
        </w:rPr>
        <w:t>nel</w:t>
      </w:r>
      <w:r>
        <w:rPr>
          <w:i/>
          <w:spacing w:val="-7"/>
          <w:w w:val="105"/>
          <w:sz w:val="22"/>
        </w:rPr>
        <w:t> </w:t>
      </w:r>
      <w:r>
        <w:rPr>
          <w:i/>
          <w:w w:val="105"/>
          <w:sz w:val="22"/>
        </w:rPr>
        <w:t>caso</w:t>
      </w:r>
      <w:r>
        <w:rPr>
          <w:i/>
          <w:spacing w:val="-7"/>
          <w:w w:val="105"/>
          <w:sz w:val="22"/>
        </w:rPr>
        <w:t> </w:t>
      </w:r>
      <w:r>
        <w:rPr>
          <w:i/>
          <w:w w:val="105"/>
          <w:sz w:val="22"/>
        </w:rPr>
        <w:t>in</w:t>
      </w:r>
      <w:r>
        <w:rPr>
          <w:i/>
          <w:spacing w:val="-7"/>
          <w:w w:val="105"/>
          <w:sz w:val="22"/>
        </w:rPr>
        <w:t> </w:t>
      </w:r>
      <w:r>
        <w:rPr>
          <w:i/>
          <w:w w:val="105"/>
          <w:sz w:val="22"/>
        </w:rPr>
        <w:t>cui</w:t>
      </w:r>
      <w:r>
        <w:rPr>
          <w:i/>
          <w:spacing w:val="-9"/>
          <w:w w:val="105"/>
          <w:sz w:val="22"/>
        </w:rPr>
        <w:t> </w:t>
      </w:r>
      <w:r>
        <w:rPr>
          <w:i/>
          <w:w w:val="105"/>
          <w:sz w:val="22"/>
        </w:rPr>
        <w:t>fosse</w:t>
      </w:r>
      <w:r>
        <w:rPr>
          <w:i/>
          <w:spacing w:val="-8"/>
          <w:w w:val="105"/>
          <w:sz w:val="22"/>
        </w:rPr>
        <w:t> </w:t>
      </w:r>
      <w:r>
        <w:rPr>
          <w:i/>
          <w:w w:val="105"/>
          <w:sz w:val="22"/>
        </w:rPr>
        <w:t>concesso alla nostra Società di esercitare il diritto di rilancio nell’ambito di una gara (a due) da svolgersi avanti il Giudice Delegato con l’aggiudicatario provvisorio (fermo restando che, come</w:t>
      </w:r>
      <w:r>
        <w:rPr>
          <w:i/>
          <w:spacing w:val="-7"/>
          <w:w w:val="105"/>
          <w:sz w:val="22"/>
        </w:rPr>
        <w:t> </w:t>
      </w:r>
      <w:r>
        <w:rPr>
          <w:i/>
          <w:w w:val="105"/>
          <w:sz w:val="22"/>
        </w:rPr>
        <w:t>previsto</w:t>
      </w:r>
      <w:r>
        <w:rPr>
          <w:i/>
          <w:spacing w:val="-6"/>
          <w:w w:val="105"/>
          <w:sz w:val="22"/>
        </w:rPr>
        <w:t> </w:t>
      </w:r>
      <w:r>
        <w:rPr>
          <w:i/>
          <w:w w:val="105"/>
          <w:sz w:val="22"/>
        </w:rPr>
        <w:t>dall’Offerta,</w:t>
      </w:r>
      <w:r>
        <w:rPr>
          <w:i/>
          <w:spacing w:val="-6"/>
          <w:w w:val="105"/>
          <w:sz w:val="22"/>
        </w:rPr>
        <w:t> </w:t>
      </w:r>
      <w:r>
        <w:rPr>
          <w:i/>
          <w:w w:val="105"/>
          <w:sz w:val="22"/>
        </w:rPr>
        <w:t>non</w:t>
      </w:r>
      <w:r>
        <w:rPr>
          <w:i/>
          <w:spacing w:val="-7"/>
          <w:w w:val="105"/>
          <w:sz w:val="22"/>
        </w:rPr>
        <w:t> </w:t>
      </w:r>
      <w:r>
        <w:rPr>
          <w:i/>
          <w:w w:val="105"/>
          <w:sz w:val="22"/>
        </w:rPr>
        <w:t>viene</w:t>
      </w:r>
      <w:r>
        <w:rPr>
          <w:i/>
          <w:spacing w:val="-7"/>
          <w:w w:val="105"/>
          <w:sz w:val="22"/>
        </w:rPr>
        <w:t> </w:t>
      </w:r>
      <w:r>
        <w:rPr>
          <w:i/>
          <w:w w:val="105"/>
          <w:sz w:val="22"/>
        </w:rPr>
        <w:t>assunto</w:t>
      </w:r>
      <w:r>
        <w:rPr>
          <w:i/>
          <w:spacing w:val="-6"/>
          <w:w w:val="105"/>
          <w:sz w:val="22"/>
        </w:rPr>
        <w:t> </w:t>
      </w:r>
      <w:r>
        <w:rPr>
          <w:i/>
          <w:w w:val="105"/>
          <w:sz w:val="22"/>
        </w:rPr>
        <w:t>dalla</w:t>
      </w:r>
      <w:r>
        <w:rPr>
          <w:i/>
          <w:spacing w:val="-7"/>
          <w:w w:val="105"/>
          <w:sz w:val="22"/>
        </w:rPr>
        <w:t> </w:t>
      </w:r>
      <w:r>
        <w:rPr>
          <w:i/>
          <w:w w:val="105"/>
          <w:sz w:val="22"/>
        </w:rPr>
        <w:t>nostra</w:t>
      </w:r>
      <w:r>
        <w:rPr>
          <w:i/>
          <w:spacing w:val="-6"/>
          <w:w w:val="105"/>
          <w:sz w:val="22"/>
        </w:rPr>
        <w:t> </w:t>
      </w:r>
      <w:r>
        <w:rPr>
          <w:i/>
          <w:w w:val="105"/>
          <w:sz w:val="22"/>
        </w:rPr>
        <w:t>Società</w:t>
      </w:r>
      <w:r>
        <w:rPr>
          <w:i/>
          <w:spacing w:val="-7"/>
          <w:w w:val="105"/>
          <w:sz w:val="22"/>
        </w:rPr>
        <w:t> </w:t>
      </w:r>
      <w:r>
        <w:rPr>
          <w:i/>
          <w:w w:val="105"/>
          <w:sz w:val="22"/>
        </w:rPr>
        <w:t>alcun</w:t>
      </w:r>
      <w:r>
        <w:rPr>
          <w:i/>
          <w:spacing w:val="-7"/>
          <w:w w:val="105"/>
          <w:sz w:val="22"/>
        </w:rPr>
        <w:t> </w:t>
      </w:r>
      <w:r>
        <w:rPr>
          <w:i/>
          <w:w w:val="105"/>
          <w:sz w:val="22"/>
        </w:rPr>
        <w:t>impegno,</w:t>
      </w:r>
      <w:r>
        <w:rPr>
          <w:i/>
          <w:spacing w:val="-6"/>
          <w:w w:val="105"/>
          <w:sz w:val="22"/>
        </w:rPr>
        <w:t> </w:t>
      </w:r>
      <w:r>
        <w:rPr>
          <w:i/>
          <w:w w:val="105"/>
          <w:sz w:val="22"/>
        </w:rPr>
        <w:t>neppure implicito, in merito a eventuali rilanci). In ogni caso, Versalis S.p.A. si riserva di valutare se partecipare alla gara (a due) anche tenuto conto del contenuto dell’offerta dell’aggiudicatario</w:t>
      </w:r>
      <w:r>
        <w:rPr>
          <w:i/>
          <w:spacing w:val="-34"/>
          <w:w w:val="105"/>
          <w:sz w:val="22"/>
        </w:rPr>
        <w:t> </w:t>
      </w:r>
      <w:r>
        <w:rPr>
          <w:i/>
          <w:w w:val="105"/>
          <w:sz w:val="22"/>
        </w:rPr>
        <w:t>provvisorio</w:t>
      </w:r>
      <w:r>
        <w:rPr>
          <w:w w:val="105"/>
          <w:sz w:val="22"/>
        </w:rPr>
        <w:t>”</w:t>
      </w:r>
      <w:r>
        <w:rPr>
          <w:spacing w:val="-34"/>
          <w:w w:val="105"/>
          <w:sz w:val="22"/>
        </w:rPr>
        <w:t> </w:t>
      </w:r>
      <w:r>
        <w:rPr>
          <w:w w:val="105"/>
          <w:sz w:val="22"/>
        </w:rPr>
        <w:t>(</w:t>
      </w:r>
      <w:r>
        <w:rPr>
          <w:b/>
          <w:w w:val="105"/>
          <w:sz w:val="22"/>
          <w:u w:val="single"/>
        </w:rPr>
        <w:t>doc.</w:t>
      </w:r>
      <w:r>
        <w:rPr>
          <w:b/>
          <w:spacing w:val="-34"/>
          <w:w w:val="105"/>
          <w:sz w:val="22"/>
          <w:u w:val="single"/>
        </w:rPr>
        <w:t> </w:t>
      </w:r>
      <w:r>
        <w:rPr>
          <w:b/>
          <w:w w:val="105"/>
          <w:sz w:val="22"/>
          <w:u w:val="single"/>
        </w:rPr>
        <w:t>75</w:t>
      </w:r>
      <w:r>
        <w:rPr>
          <w:w w:val="105"/>
          <w:sz w:val="22"/>
        </w:rPr>
        <w:t>).</w:t>
      </w:r>
    </w:p>
    <w:p>
      <w:pPr>
        <w:pStyle w:val="BodyText"/>
        <w:ind w:left="476" w:right="2272"/>
        <w:jc w:val="center"/>
      </w:pPr>
      <w:r>
        <w:rPr>
          <w:w w:val="105"/>
        </w:rPr>
        <w:t>* * *</w:t>
      </w:r>
    </w:p>
    <w:p>
      <w:pPr>
        <w:pStyle w:val="BodyText"/>
        <w:spacing w:before="7"/>
        <w:rPr>
          <w:sz w:val="21"/>
        </w:rPr>
      </w:pPr>
    </w:p>
    <w:p>
      <w:pPr>
        <w:pStyle w:val="Heading2"/>
        <w:numPr>
          <w:ilvl w:val="1"/>
          <w:numId w:val="18"/>
        </w:numPr>
        <w:tabs>
          <w:tab w:pos="1067" w:val="left" w:leader="none"/>
        </w:tabs>
        <w:spacing w:line="240" w:lineRule="auto" w:before="0" w:after="0"/>
        <w:ind w:left="1066" w:right="0" w:hanging="666"/>
        <w:jc w:val="both"/>
      </w:pPr>
      <w:bookmarkStart w:name="_TOC_250022" w:id="30"/>
      <w:r>
        <w:rPr>
          <w:i/>
          <w:sz w:val="24"/>
          <w:u w:val="single"/>
        </w:rPr>
        <w:t>Segue: </w:t>
      </w:r>
      <w:r>
        <w:rPr>
          <w:u w:val="single"/>
        </w:rPr>
        <w:t>l’Incasso Crediti e la realizzazione degli Altri</w:t>
      </w:r>
      <w:r>
        <w:rPr>
          <w:spacing w:val="47"/>
          <w:u w:val="single"/>
        </w:rPr>
        <w:t> </w:t>
      </w:r>
      <w:bookmarkEnd w:id="30"/>
      <w:r>
        <w:rPr>
          <w:u w:val="single"/>
        </w:rPr>
        <w:t>Attivi</w:t>
      </w:r>
    </w:p>
    <w:p>
      <w:pPr>
        <w:pStyle w:val="BodyText"/>
        <w:spacing w:before="7"/>
        <w:rPr>
          <w:b/>
        </w:rPr>
      </w:pPr>
    </w:p>
    <w:p>
      <w:pPr>
        <w:pStyle w:val="BodyText"/>
        <w:spacing w:line="494" w:lineRule="auto"/>
        <w:ind w:left="400" w:right="2195"/>
        <w:jc w:val="both"/>
      </w:pPr>
      <w:r>
        <w:rPr>
          <w:w w:val="105"/>
        </w:rPr>
        <w:t>Una parte dell’attivo necessario per la soddisfazione dei creditori nella misura prevista nella presente Proposta sarà realizzata tramite l’Incasso</w:t>
      </w:r>
    </w:p>
    <w:p>
      <w:pPr>
        <w:spacing w:after="0" w:line="494" w:lineRule="auto"/>
        <w:jc w:val="both"/>
        <w:sectPr>
          <w:pgSz w:w="12240" w:h="15840"/>
          <w:pgMar w:header="0" w:footer="790" w:top="1500" w:bottom="980" w:left="1720" w:right="1200"/>
        </w:sectPr>
      </w:pPr>
    </w:p>
    <w:p>
      <w:pPr>
        <w:pStyle w:val="BodyText"/>
        <w:spacing w:before="105"/>
        <w:ind w:left="400"/>
        <w:jc w:val="both"/>
      </w:pPr>
      <w:r>
        <w:rPr>
          <w:w w:val="105"/>
        </w:rPr>
        <w:t>Crediti e la realizzazione degli Altri Attivi, in linea con il Piano.</w:t>
      </w:r>
    </w:p>
    <w:p>
      <w:pPr>
        <w:pStyle w:val="BodyText"/>
        <w:rPr>
          <w:sz w:val="23"/>
        </w:rPr>
      </w:pPr>
    </w:p>
    <w:p>
      <w:pPr>
        <w:pStyle w:val="BodyText"/>
        <w:ind w:left="476" w:right="2220"/>
        <w:jc w:val="center"/>
      </w:pPr>
      <w:r>
        <w:rPr>
          <w:w w:val="105"/>
        </w:rPr>
        <w:t>* * *</w:t>
      </w:r>
    </w:p>
    <w:p>
      <w:pPr>
        <w:pStyle w:val="BodyText"/>
        <w:spacing w:before="1"/>
        <w:rPr>
          <w:sz w:val="23"/>
        </w:rPr>
      </w:pPr>
    </w:p>
    <w:p>
      <w:pPr>
        <w:pStyle w:val="Heading2"/>
        <w:numPr>
          <w:ilvl w:val="1"/>
          <w:numId w:val="18"/>
        </w:numPr>
        <w:tabs>
          <w:tab w:pos="1066" w:val="left" w:leader="none"/>
        </w:tabs>
        <w:spacing w:line="240" w:lineRule="auto" w:before="0" w:after="0"/>
        <w:ind w:left="1065" w:right="0" w:hanging="665"/>
        <w:jc w:val="both"/>
      </w:pPr>
      <w:bookmarkStart w:name="_TOC_250021" w:id="31"/>
      <w:r>
        <w:rPr>
          <w:w w:val="105"/>
        </w:rPr>
        <w:t>Segue:</w:t>
      </w:r>
      <w:r>
        <w:rPr>
          <w:spacing w:val="-17"/>
          <w:w w:val="105"/>
        </w:rPr>
        <w:t> </w:t>
      </w:r>
      <w:r>
        <w:rPr>
          <w:w w:val="105"/>
        </w:rPr>
        <w:t>il</w:t>
      </w:r>
      <w:r>
        <w:rPr>
          <w:spacing w:val="-17"/>
          <w:w w:val="105"/>
        </w:rPr>
        <w:t> </w:t>
      </w:r>
      <w:r>
        <w:rPr>
          <w:w w:val="105"/>
        </w:rPr>
        <w:t>Piano</w:t>
      </w:r>
      <w:r>
        <w:rPr>
          <w:spacing w:val="-17"/>
          <w:w w:val="105"/>
        </w:rPr>
        <w:t> </w:t>
      </w:r>
      <w:r>
        <w:rPr>
          <w:w w:val="105"/>
        </w:rPr>
        <w:t>di</w:t>
      </w:r>
      <w:r>
        <w:rPr>
          <w:spacing w:val="-17"/>
          <w:w w:val="105"/>
        </w:rPr>
        <w:t> </w:t>
      </w:r>
      <w:bookmarkEnd w:id="31"/>
      <w:r>
        <w:rPr>
          <w:w w:val="105"/>
        </w:rPr>
        <w:t>Cassa</w:t>
      </w:r>
    </w:p>
    <w:p>
      <w:pPr>
        <w:pStyle w:val="BodyText"/>
        <w:rPr>
          <w:b/>
          <w:sz w:val="23"/>
        </w:rPr>
      </w:pPr>
    </w:p>
    <w:p>
      <w:pPr>
        <w:pStyle w:val="BodyText"/>
        <w:spacing w:line="491" w:lineRule="auto"/>
        <w:ind w:left="400" w:right="2144"/>
        <w:jc w:val="both"/>
      </w:pPr>
      <w:r>
        <w:rPr>
          <w:w w:val="105"/>
        </w:rPr>
        <w:t>Come</w:t>
      </w:r>
      <w:r>
        <w:rPr>
          <w:spacing w:val="-15"/>
          <w:w w:val="105"/>
        </w:rPr>
        <w:t> </w:t>
      </w:r>
      <w:r>
        <w:rPr>
          <w:w w:val="105"/>
        </w:rPr>
        <w:t>più</w:t>
      </w:r>
      <w:r>
        <w:rPr>
          <w:spacing w:val="-14"/>
          <w:w w:val="105"/>
        </w:rPr>
        <w:t> </w:t>
      </w:r>
      <w:r>
        <w:rPr>
          <w:w w:val="105"/>
        </w:rPr>
        <w:t>volte</w:t>
      </w:r>
      <w:r>
        <w:rPr>
          <w:spacing w:val="-15"/>
          <w:w w:val="105"/>
        </w:rPr>
        <w:t> </w:t>
      </w:r>
      <w:r>
        <w:rPr>
          <w:w w:val="105"/>
        </w:rPr>
        <w:t>ricordato,</w:t>
      </w:r>
      <w:r>
        <w:rPr>
          <w:spacing w:val="-13"/>
          <w:w w:val="105"/>
        </w:rPr>
        <w:t> </w:t>
      </w:r>
      <w:r>
        <w:rPr>
          <w:w w:val="105"/>
        </w:rPr>
        <w:t>la</w:t>
      </w:r>
      <w:r>
        <w:rPr>
          <w:spacing w:val="-15"/>
          <w:w w:val="105"/>
        </w:rPr>
        <w:t> </w:t>
      </w:r>
      <w:r>
        <w:rPr>
          <w:w w:val="105"/>
        </w:rPr>
        <w:t>Società</w:t>
      </w:r>
      <w:r>
        <w:rPr>
          <w:spacing w:val="-15"/>
          <w:w w:val="105"/>
        </w:rPr>
        <w:t> </w:t>
      </w:r>
      <w:r>
        <w:rPr>
          <w:w w:val="105"/>
        </w:rPr>
        <w:t>propone</w:t>
      </w:r>
      <w:r>
        <w:rPr>
          <w:spacing w:val="-14"/>
          <w:w w:val="105"/>
        </w:rPr>
        <w:t> </w:t>
      </w:r>
      <w:r>
        <w:rPr>
          <w:w w:val="105"/>
        </w:rPr>
        <w:t>ai</w:t>
      </w:r>
      <w:r>
        <w:rPr>
          <w:spacing w:val="-15"/>
          <w:w w:val="105"/>
        </w:rPr>
        <w:t> </w:t>
      </w:r>
      <w:r>
        <w:rPr>
          <w:w w:val="105"/>
        </w:rPr>
        <w:t>propri</w:t>
      </w:r>
      <w:r>
        <w:rPr>
          <w:spacing w:val="-15"/>
          <w:w w:val="105"/>
        </w:rPr>
        <w:t> </w:t>
      </w:r>
      <w:r>
        <w:rPr>
          <w:w w:val="105"/>
        </w:rPr>
        <w:t>creditori</w:t>
      </w:r>
      <w:r>
        <w:rPr>
          <w:spacing w:val="-15"/>
          <w:w w:val="105"/>
        </w:rPr>
        <w:t> </w:t>
      </w:r>
      <w:r>
        <w:rPr>
          <w:w w:val="105"/>
        </w:rPr>
        <w:t>una</w:t>
      </w:r>
      <w:r>
        <w:rPr>
          <w:spacing w:val="-15"/>
          <w:w w:val="105"/>
        </w:rPr>
        <w:t> </w:t>
      </w:r>
      <w:r>
        <w:rPr>
          <w:w w:val="105"/>
        </w:rPr>
        <w:t>Proposta ed</w:t>
      </w:r>
      <w:r>
        <w:rPr>
          <w:spacing w:val="-16"/>
          <w:w w:val="105"/>
        </w:rPr>
        <w:t> </w:t>
      </w:r>
      <w:r>
        <w:rPr>
          <w:w w:val="105"/>
        </w:rPr>
        <w:t>un</w:t>
      </w:r>
      <w:r>
        <w:rPr>
          <w:spacing w:val="-16"/>
          <w:w w:val="105"/>
        </w:rPr>
        <w:t> </w:t>
      </w:r>
      <w:r>
        <w:rPr>
          <w:w w:val="105"/>
        </w:rPr>
        <w:t>Piano</w:t>
      </w:r>
      <w:r>
        <w:rPr>
          <w:spacing w:val="-16"/>
          <w:w w:val="105"/>
        </w:rPr>
        <w:t> </w:t>
      </w:r>
      <w:r>
        <w:rPr>
          <w:w w:val="105"/>
        </w:rPr>
        <w:t>di</w:t>
      </w:r>
      <w:r>
        <w:rPr>
          <w:spacing w:val="-16"/>
          <w:w w:val="105"/>
        </w:rPr>
        <w:t> </w:t>
      </w:r>
      <w:r>
        <w:rPr>
          <w:w w:val="105"/>
        </w:rPr>
        <w:t>natura</w:t>
      </w:r>
      <w:r>
        <w:rPr>
          <w:spacing w:val="-16"/>
          <w:w w:val="105"/>
        </w:rPr>
        <w:t> </w:t>
      </w:r>
      <w:r>
        <w:rPr>
          <w:w w:val="105"/>
        </w:rPr>
        <w:t>liquidatoria.</w:t>
      </w:r>
    </w:p>
    <w:p>
      <w:pPr>
        <w:pStyle w:val="BodyText"/>
        <w:spacing w:line="491" w:lineRule="auto" w:before="1"/>
        <w:ind w:left="400" w:right="2143"/>
        <w:jc w:val="both"/>
      </w:pPr>
      <w:r>
        <w:rPr>
          <w:w w:val="105"/>
        </w:rPr>
        <w:t>In conformità a tale impostazione, durante la fase prenotativa la Società ha contenuto</w:t>
      </w:r>
      <w:r>
        <w:rPr>
          <w:spacing w:val="-9"/>
          <w:w w:val="105"/>
        </w:rPr>
        <w:t> </w:t>
      </w:r>
      <w:r>
        <w:rPr>
          <w:w w:val="105"/>
        </w:rPr>
        <w:t>la</w:t>
      </w:r>
      <w:r>
        <w:rPr>
          <w:spacing w:val="-8"/>
          <w:w w:val="105"/>
        </w:rPr>
        <w:t> </w:t>
      </w:r>
      <w:r>
        <w:rPr>
          <w:w w:val="105"/>
        </w:rPr>
        <w:t>propria</w:t>
      </w:r>
      <w:r>
        <w:rPr>
          <w:spacing w:val="-9"/>
          <w:w w:val="105"/>
        </w:rPr>
        <w:t> </w:t>
      </w:r>
      <w:r>
        <w:rPr>
          <w:w w:val="105"/>
        </w:rPr>
        <w:t>attività</w:t>
      </w:r>
      <w:r>
        <w:rPr>
          <w:spacing w:val="-8"/>
          <w:w w:val="105"/>
        </w:rPr>
        <w:t> </w:t>
      </w:r>
      <w:r>
        <w:rPr>
          <w:w w:val="105"/>
        </w:rPr>
        <w:t>caratteristica</w:t>
      </w:r>
      <w:r>
        <w:rPr>
          <w:spacing w:val="-9"/>
          <w:w w:val="105"/>
        </w:rPr>
        <w:t> </w:t>
      </w:r>
      <w:r>
        <w:rPr>
          <w:w w:val="105"/>
        </w:rPr>
        <w:t>alla</w:t>
      </w:r>
      <w:r>
        <w:rPr>
          <w:spacing w:val="-9"/>
          <w:w w:val="105"/>
        </w:rPr>
        <w:t> </w:t>
      </w:r>
      <w:r>
        <w:rPr>
          <w:w w:val="105"/>
        </w:rPr>
        <w:t>sola</w:t>
      </w:r>
      <w:r>
        <w:rPr>
          <w:spacing w:val="-8"/>
          <w:w w:val="105"/>
        </w:rPr>
        <w:t> </w:t>
      </w:r>
      <w:r>
        <w:rPr>
          <w:w w:val="105"/>
        </w:rPr>
        <w:t>ordinaria</w:t>
      </w:r>
      <w:r>
        <w:rPr>
          <w:spacing w:val="-8"/>
          <w:w w:val="105"/>
        </w:rPr>
        <w:t> </w:t>
      </w:r>
      <w:r>
        <w:rPr>
          <w:w w:val="105"/>
        </w:rPr>
        <w:t>amministrazione ed</w:t>
      </w:r>
      <w:r>
        <w:rPr>
          <w:spacing w:val="-9"/>
          <w:w w:val="105"/>
        </w:rPr>
        <w:t> </w:t>
      </w:r>
      <w:r>
        <w:rPr>
          <w:w w:val="105"/>
        </w:rPr>
        <w:t>ha</w:t>
      </w:r>
      <w:r>
        <w:rPr>
          <w:spacing w:val="-8"/>
          <w:w w:val="105"/>
        </w:rPr>
        <w:t> </w:t>
      </w:r>
      <w:r>
        <w:rPr>
          <w:w w:val="105"/>
        </w:rPr>
        <w:t>così</w:t>
      </w:r>
      <w:r>
        <w:rPr>
          <w:spacing w:val="-9"/>
          <w:w w:val="105"/>
        </w:rPr>
        <w:t> </w:t>
      </w:r>
      <w:r>
        <w:rPr>
          <w:w w:val="105"/>
        </w:rPr>
        <w:t>ha</w:t>
      </w:r>
      <w:r>
        <w:rPr>
          <w:spacing w:val="-8"/>
          <w:w w:val="105"/>
        </w:rPr>
        <w:t> </w:t>
      </w:r>
      <w:r>
        <w:rPr>
          <w:w w:val="105"/>
        </w:rPr>
        <w:t>ridotto</w:t>
      </w:r>
      <w:r>
        <w:rPr>
          <w:spacing w:val="-10"/>
          <w:w w:val="105"/>
        </w:rPr>
        <w:t> </w:t>
      </w:r>
      <w:r>
        <w:rPr>
          <w:w w:val="105"/>
        </w:rPr>
        <w:t>al</w:t>
      </w:r>
      <w:r>
        <w:rPr>
          <w:spacing w:val="-8"/>
          <w:w w:val="105"/>
        </w:rPr>
        <w:t> </w:t>
      </w:r>
      <w:r>
        <w:rPr>
          <w:w w:val="105"/>
        </w:rPr>
        <w:t>minimo</w:t>
      </w:r>
      <w:r>
        <w:rPr>
          <w:spacing w:val="-9"/>
          <w:w w:val="105"/>
        </w:rPr>
        <w:t> </w:t>
      </w:r>
      <w:r>
        <w:rPr>
          <w:w w:val="105"/>
        </w:rPr>
        <w:t>i</w:t>
      </w:r>
      <w:r>
        <w:rPr>
          <w:spacing w:val="-8"/>
          <w:w w:val="105"/>
        </w:rPr>
        <w:t> </w:t>
      </w:r>
      <w:r>
        <w:rPr>
          <w:w w:val="105"/>
        </w:rPr>
        <w:t>costi</w:t>
      </w:r>
      <w:r>
        <w:rPr>
          <w:spacing w:val="-11"/>
          <w:w w:val="105"/>
        </w:rPr>
        <w:t> </w:t>
      </w:r>
      <w:r>
        <w:rPr>
          <w:w w:val="105"/>
        </w:rPr>
        <w:t>di</w:t>
      </w:r>
      <w:r>
        <w:rPr>
          <w:spacing w:val="-9"/>
          <w:w w:val="105"/>
        </w:rPr>
        <w:t> </w:t>
      </w:r>
      <w:r>
        <w:rPr>
          <w:w w:val="105"/>
        </w:rPr>
        <w:t>gestione,</w:t>
      </w:r>
      <w:r>
        <w:rPr>
          <w:spacing w:val="-10"/>
          <w:w w:val="105"/>
        </w:rPr>
        <w:t> </w:t>
      </w:r>
      <w:r>
        <w:rPr>
          <w:w w:val="105"/>
        </w:rPr>
        <w:t>sulla</w:t>
      </w:r>
      <w:r>
        <w:rPr>
          <w:spacing w:val="-9"/>
          <w:w w:val="105"/>
        </w:rPr>
        <w:t> </w:t>
      </w:r>
      <w:r>
        <w:rPr>
          <w:w w:val="105"/>
        </w:rPr>
        <w:t>base</w:t>
      </w:r>
      <w:r>
        <w:rPr>
          <w:spacing w:val="-8"/>
          <w:w w:val="105"/>
        </w:rPr>
        <w:t> </w:t>
      </w:r>
      <w:r>
        <w:rPr>
          <w:w w:val="105"/>
        </w:rPr>
        <w:t>ed</w:t>
      </w:r>
      <w:r>
        <w:rPr>
          <w:spacing w:val="-9"/>
          <w:w w:val="105"/>
        </w:rPr>
        <w:t> </w:t>
      </w:r>
      <w:r>
        <w:rPr>
          <w:w w:val="105"/>
        </w:rPr>
        <w:t>in</w:t>
      </w:r>
      <w:r>
        <w:rPr>
          <w:spacing w:val="-9"/>
          <w:w w:val="105"/>
        </w:rPr>
        <w:t> </w:t>
      </w:r>
      <w:r>
        <w:rPr>
          <w:w w:val="105"/>
        </w:rPr>
        <w:t>esecuzione di del Piano di Cassa, che contempla l’arco temporale decorrente tra la data di</w:t>
      </w:r>
      <w:r>
        <w:rPr>
          <w:spacing w:val="-10"/>
          <w:w w:val="105"/>
        </w:rPr>
        <w:t> </w:t>
      </w:r>
      <w:r>
        <w:rPr>
          <w:w w:val="105"/>
        </w:rPr>
        <w:t>deposito</w:t>
      </w:r>
      <w:r>
        <w:rPr>
          <w:spacing w:val="-9"/>
          <w:w w:val="105"/>
        </w:rPr>
        <w:t> </w:t>
      </w:r>
      <w:r>
        <w:rPr>
          <w:w w:val="105"/>
        </w:rPr>
        <w:t>della</w:t>
      </w:r>
      <w:r>
        <w:rPr>
          <w:spacing w:val="-10"/>
          <w:w w:val="105"/>
        </w:rPr>
        <w:t> </w:t>
      </w:r>
      <w:r>
        <w:rPr>
          <w:w w:val="105"/>
        </w:rPr>
        <w:t>presente</w:t>
      </w:r>
      <w:r>
        <w:rPr>
          <w:spacing w:val="-8"/>
          <w:w w:val="105"/>
        </w:rPr>
        <w:t> </w:t>
      </w:r>
      <w:r>
        <w:rPr>
          <w:w w:val="105"/>
        </w:rPr>
        <w:t>memoria</w:t>
      </w:r>
      <w:r>
        <w:rPr>
          <w:spacing w:val="-9"/>
          <w:w w:val="105"/>
        </w:rPr>
        <w:t> </w:t>
      </w:r>
      <w:r>
        <w:rPr>
          <w:w w:val="105"/>
        </w:rPr>
        <w:t>e</w:t>
      </w:r>
      <w:r>
        <w:rPr>
          <w:spacing w:val="-9"/>
          <w:w w:val="105"/>
        </w:rPr>
        <w:t> </w:t>
      </w:r>
      <w:r>
        <w:rPr>
          <w:w w:val="105"/>
        </w:rPr>
        <w:t>la</w:t>
      </w:r>
      <w:r>
        <w:rPr>
          <w:spacing w:val="-9"/>
          <w:w w:val="105"/>
        </w:rPr>
        <w:t> </w:t>
      </w:r>
      <w:r>
        <w:rPr>
          <w:w w:val="105"/>
        </w:rPr>
        <w:t>data</w:t>
      </w:r>
      <w:r>
        <w:rPr>
          <w:spacing w:val="-9"/>
          <w:w w:val="105"/>
        </w:rPr>
        <w:t> </w:t>
      </w:r>
      <w:r>
        <w:rPr>
          <w:w w:val="105"/>
        </w:rPr>
        <w:t>finale</w:t>
      </w:r>
      <w:r>
        <w:rPr>
          <w:spacing w:val="-11"/>
          <w:w w:val="105"/>
        </w:rPr>
        <w:t> </w:t>
      </w:r>
      <w:r>
        <w:rPr>
          <w:w w:val="105"/>
        </w:rPr>
        <w:t>di</w:t>
      </w:r>
      <w:r>
        <w:rPr>
          <w:spacing w:val="-10"/>
          <w:w w:val="105"/>
        </w:rPr>
        <w:t> </w:t>
      </w:r>
      <w:r>
        <w:rPr>
          <w:w w:val="105"/>
        </w:rPr>
        <w:t>adempimento</w:t>
      </w:r>
      <w:r>
        <w:rPr>
          <w:spacing w:val="-9"/>
          <w:w w:val="105"/>
        </w:rPr>
        <w:t> </w:t>
      </w:r>
      <w:r>
        <w:rPr>
          <w:w w:val="105"/>
        </w:rPr>
        <w:t>del</w:t>
      </w:r>
      <w:r>
        <w:rPr>
          <w:spacing w:val="-10"/>
          <w:w w:val="105"/>
        </w:rPr>
        <w:t> </w:t>
      </w:r>
      <w:r>
        <w:rPr>
          <w:w w:val="105"/>
        </w:rPr>
        <w:t>Piano di</w:t>
      </w:r>
      <w:r>
        <w:rPr>
          <w:spacing w:val="-18"/>
          <w:w w:val="105"/>
        </w:rPr>
        <w:t> </w:t>
      </w:r>
      <w:r>
        <w:rPr>
          <w:w w:val="105"/>
        </w:rPr>
        <w:t>Ripagamento</w:t>
      </w:r>
      <w:r>
        <w:rPr>
          <w:spacing w:val="-18"/>
          <w:w w:val="105"/>
        </w:rPr>
        <w:t> </w:t>
      </w:r>
      <w:r>
        <w:rPr>
          <w:w w:val="105"/>
        </w:rPr>
        <w:t>(cfr.</w:t>
      </w:r>
      <w:r>
        <w:rPr>
          <w:spacing w:val="-18"/>
          <w:w w:val="105"/>
        </w:rPr>
        <w:t> </w:t>
      </w:r>
      <w:r>
        <w:rPr>
          <w:w w:val="105"/>
        </w:rPr>
        <w:t>doc.</w:t>
      </w:r>
      <w:r>
        <w:rPr>
          <w:spacing w:val="-18"/>
          <w:w w:val="105"/>
        </w:rPr>
        <w:t> </w:t>
      </w:r>
      <w:r>
        <w:rPr>
          <w:w w:val="105"/>
        </w:rPr>
        <w:t>66).</w:t>
      </w:r>
    </w:p>
    <w:p>
      <w:pPr>
        <w:pStyle w:val="BodyText"/>
        <w:spacing w:line="491" w:lineRule="auto"/>
        <w:ind w:left="400" w:right="2142"/>
        <w:jc w:val="both"/>
      </w:pPr>
      <w:r>
        <w:rPr>
          <w:w w:val="105"/>
        </w:rPr>
        <w:t>Come evidenziato nel corso delle memorie informative, la Società ha dismesso gran parte della propria forza lavoro, il cui costo rappresentava la voce più rilevante tra le spese da pagarsi in prededuzione, oltre a limitare al massimo</w:t>
      </w:r>
      <w:r>
        <w:rPr>
          <w:spacing w:val="-14"/>
          <w:w w:val="105"/>
        </w:rPr>
        <w:t> </w:t>
      </w:r>
      <w:r>
        <w:rPr>
          <w:w w:val="105"/>
        </w:rPr>
        <w:t>gli</w:t>
      </w:r>
      <w:r>
        <w:rPr>
          <w:spacing w:val="-14"/>
          <w:w w:val="105"/>
        </w:rPr>
        <w:t> </w:t>
      </w:r>
      <w:r>
        <w:rPr>
          <w:w w:val="105"/>
        </w:rPr>
        <w:t>esborsi</w:t>
      </w:r>
      <w:r>
        <w:rPr>
          <w:spacing w:val="-13"/>
          <w:w w:val="105"/>
        </w:rPr>
        <w:t> </w:t>
      </w:r>
      <w:r>
        <w:rPr>
          <w:w w:val="105"/>
        </w:rPr>
        <w:t>per</w:t>
      </w:r>
      <w:r>
        <w:rPr>
          <w:spacing w:val="-14"/>
          <w:w w:val="105"/>
        </w:rPr>
        <w:t> </w:t>
      </w:r>
      <w:r>
        <w:rPr>
          <w:w w:val="105"/>
        </w:rPr>
        <w:t>utenze</w:t>
      </w:r>
      <w:r>
        <w:rPr>
          <w:spacing w:val="-14"/>
          <w:w w:val="105"/>
        </w:rPr>
        <w:t> </w:t>
      </w:r>
      <w:r>
        <w:rPr>
          <w:w w:val="105"/>
        </w:rPr>
        <w:t>ed</w:t>
      </w:r>
      <w:r>
        <w:rPr>
          <w:spacing w:val="-14"/>
          <w:w w:val="105"/>
        </w:rPr>
        <w:t> </w:t>
      </w:r>
      <w:r>
        <w:rPr>
          <w:w w:val="105"/>
        </w:rPr>
        <w:t>eliminare</w:t>
      </w:r>
      <w:r>
        <w:rPr>
          <w:spacing w:val="-14"/>
          <w:w w:val="105"/>
        </w:rPr>
        <w:t> </w:t>
      </w:r>
      <w:r>
        <w:rPr>
          <w:w w:val="105"/>
        </w:rPr>
        <w:t>tutti</w:t>
      </w:r>
      <w:r>
        <w:rPr>
          <w:spacing w:val="-14"/>
          <w:w w:val="105"/>
        </w:rPr>
        <w:t> </w:t>
      </w:r>
      <w:r>
        <w:rPr>
          <w:w w:val="105"/>
        </w:rPr>
        <w:t>i</w:t>
      </w:r>
      <w:r>
        <w:rPr>
          <w:spacing w:val="-14"/>
          <w:w w:val="105"/>
        </w:rPr>
        <w:t> </w:t>
      </w:r>
      <w:r>
        <w:rPr>
          <w:w w:val="105"/>
        </w:rPr>
        <w:t>costi</w:t>
      </w:r>
      <w:r>
        <w:rPr>
          <w:spacing w:val="-15"/>
          <w:w w:val="105"/>
        </w:rPr>
        <w:t> </w:t>
      </w:r>
      <w:r>
        <w:rPr>
          <w:w w:val="105"/>
        </w:rPr>
        <w:t>relativi</w:t>
      </w:r>
      <w:r>
        <w:rPr>
          <w:spacing w:val="-14"/>
          <w:w w:val="105"/>
        </w:rPr>
        <w:t> </w:t>
      </w:r>
      <w:r>
        <w:rPr>
          <w:w w:val="105"/>
        </w:rPr>
        <w:t>a</w:t>
      </w:r>
      <w:r>
        <w:rPr>
          <w:spacing w:val="-14"/>
          <w:w w:val="105"/>
        </w:rPr>
        <w:t> </w:t>
      </w:r>
      <w:r>
        <w:rPr>
          <w:w w:val="105"/>
        </w:rPr>
        <w:t>prestazioni</w:t>
      </w:r>
      <w:r>
        <w:rPr>
          <w:spacing w:val="-14"/>
          <w:w w:val="105"/>
        </w:rPr>
        <w:t> </w:t>
      </w:r>
      <w:r>
        <w:rPr>
          <w:w w:val="105"/>
        </w:rPr>
        <w:t>o servizi</w:t>
      </w:r>
      <w:r>
        <w:rPr>
          <w:spacing w:val="-21"/>
          <w:w w:val="105"/>
        </w:rPr>
        <w:t> </w:t>
      </w:r>
      <w:r>
        <w:rPr>
          <w:w w:val="105"/>
        </w:rPr>
        <w:t>non</w:t>
      </w:r>
      <w:r>
        <w:rPr>
          <w:spacing w:val="-21"/>
          <w:w w:val="105"/>
        </w:rPr>
        <w:t> </w:t>
      </w:r>
      <w:r>
        <w:rPr>
          <w:w w:val="105"/>
        </w:rPr>
        <w:t>strettamente</w:t>
      </w:r>
      <w:r>
        <w:rPr>
          <w:spacing w:val="-21"/>
          <w:w w:val="105"/>
        </w:rPr>
        <w:t> </w:t>
      </w:r>
      <w:r>
        <w:rPr>
          <w:w w:val="105"/>
        </w:rPr>
        <w:t>necessari</w:t>
      </w:r>
      <w:r>
        <w:rPr>
          <w:spacing w:val="-20"/>
          <w:w w:val="105"/>
        </w:rPr>
        <w:t> </w:t>
      </w:r>
      <w:r>
        <w:rPr>
          <w:w w:val="105"/>
        </w:rPr>
        <w:t>ai</w:t>
      </w:r>
      <w:r>
        <w:rPr>
          <w:spacing w:val="-21"/>
          <w:w w:val="105"/>
        </w:rPr>
        <w:t> </w:t>
      </w:r>
      <w:r>
        <w:rPr>
          <w:w w:val="105"/>
        </w:rPr>
        <w:t>fini</w:t>
      </w:r>
      <w:r>
        <w:rPr>
          <w:spacing w:val="-20"/>
          <w:w w:val="105"/>
        </w:rPr>
        <w:t> </w:t>
      </w:r>
      <w:r>
        <w:rPr>
          <w:w w:val="105"/>
        </w:rPr>
        <w:t>dell’esecuzione</w:t>
      </w:r>
      <w:r>
        <w:rPr>
          <w:spacing w:val="-22"/>
          <w:w w:val="105"/>
        </w:rPr>
        <w:t> </w:t>
      </w:r>
      <w:r>
        <w:rPr>
          <w:w w:val="105"/>
        </w:rPr>
        <w:t>del</w:t>
      </w:r>
      <w:r>
        <w:rPr>
          <w:spacing w:val="-20"/>
          <w:w w:val="105"/>
        </w:rPr>
        <w:t> </w:t>
      </w:r>
      <w:r>
        <w:rPr>
          <w:w w:val="105"/>
        </w:rPr>
        <w:t>Piano.</w:t>
      </w:r>
    </w:p>
    <w:p>
      <w:pPr>
        <w:pStyle w:val="BodyText"/>
        <w:spacing w:line="491" w:lineRule="auto"/>
        <w:ind w:left="400" w:right="2142"/>
        <w:jc w:val="both"/>
      </w:pPr>
      <w:r>
        <w:rPr>
          <w:w w:val="105"/>
        </w:rPr>
        <w:t>In quest’ottica, dunque, Biochemtex ha elaborato un Piano di Cassa che consente di prevedere e stanziare le spese di funzionamento della Società dalla data di deposito del Ricorso e sino all’ultimazione della fase esecutiva del Piano.</w:t>
      </w:r>
    </w:p>
    <w:p>
      <w:pPr>
        <w:pStyle w:val="BodyText"/>
        <w:spacing w:line="491" w:lineRule="auto"/>
        <w:ind w:left="400" w:right="2142"/>
        <w:jc w:val="both"/>
      </w:pPr>
      <w:r>
        <w:rPr>
          <w:w w:val="105"/>
        </w:rPr>
        <w:t>In questo modo, l’Ill.mo Tribunale avrà sotto mano l’evidenza di come il mantenimento</w:t>
      </w:r>
      <w:r>
        <w:rPr>
          <w:spacing w:val="-20"/>
          <w:w w:val="105"/>
        </w:rPr>
        <w:t> </w:t>
      </w:r>
      <w:r>
        <w:rPr>
          <w:w w:val="105"/>
        </w:rPr>
        <w:t>della</w:t>
      </w:r>
      <w:r>
        <w:rPr>
          <w:spacing w:val="-20"/>
          <w:w w:val="105"/>
        </w:rPr>
        <w:t> </w:t>
      </w:r>
      <w:r>
        <w:rPr>
          <w:w w:val="105"/>
        </w:rPr>
        <w:t>limitata</w:t>
      </w:r>
      <w:r>
        <w:rPr>
          <w:spacing w:val="-20"/>
          <w:w w:val="105"/>
        </w:rPr>
        <w:t> </w:t>
      </w:r>
      <w:r>
        <w:rPr>
          <w:w w:val="105"/>
        </w:rPr>
        <w:t>operatività</w:t>
      </w:r>
      <w:r>
        <w:rPr>
          <w:spacing w:val="-20"/>
          <w:w w:val="105"/>
        </w:rPr>
        <w:t> </w:t>
      </w:r>
      <w:r>
        <w:rPr>
          <w:w w:val="105"/>
        </w:rPr>
        <w:t>sociale</w:t>
      </w:r>
      <w:r>
        <w:rPr>
          <w:spacing w:val="-20"/>
          <w:w w:val="105"/>
        </w:rPr>
        <w:t> </w:t>
      </w:r>
      <w:r>
        <w:rPr>
          <w:w w:val="105"/>
        </w:rPr>
        <w:t>necessaria</w:t>
      </w:r>
      <w:r>
        <w:rPr>
          <w:spacing w:val="-21"/>
          <w:w w:val="105"/>
        </w:rPr>
        <w:t> </w:t>
      </w:r>
      <w:r>
        <w:rPr>
          <w:w w:val="105"/>
        </w:rPr>
        <w:t>ai</w:t>
      </w:r>
      <w:r>
        <w:rPr>
          <w:spacing w:val="-19"/>
          <w:w w:val="105"/>
        </w:rPr>
        <w:t> </w:t>
      </w:r>
      <w:r>
        <w:rPr>
          <w:w w:val="105"/>
        </w:rPr>
        <w:t>fini</w:t>
      </w:r>
      <w:r>
        <w:rPr>
          <w:spacing w:val="-19"/>
          <w:w w:val="105"/>
        </w:rPr>
        <w:t> </w:t>
      </w:r>
      <w:r>
        <w:rPr>
          <w:w w:val="105"/>
        </w:rPr>
        <w:t>della</w:t>
      </w:r>
      <w:r>
        <w:rPr>
          <w:spacing w:val="-20"/>
          <w:w w:val="105"/>
        </w:rPr>
        <w:t> </w:t>
      </w:r>
      <w:r>
        <w:rPr>
          <w:w w:val="105"/>
        </w:rPr>
        <w:t>cessione del Ramo Biochemtex, all’Incasso Crediti e alla valorizzazione degli Altri Attivi, non vada a detrimento dei creditori concordatari, ma anzi  </w:t>
      </w:r>
      <w:r>
        <w:rPr>
          <w:spacing w:val="30"/>
          <w:w w:val="105"/>
        </w:rPr>
        <w:t> </w:t>
      </w:r>
      <w:r>
        <w:rPr>
          <w:w w:val="105"/>
        </w:rPr>
        <w:t>consenta</w:t>
      </w:r>
    </w:p>
    <w:p>
      <w:pPr>
        <w:spacing w:after="0" w:line="491" w:lineRule="auto"/>
        <w:jc w:val="both"/>
        <w:sectPr>
          <w:pgSz w:w="12240" w:h="15840"/>
          <w:pgMar w:header="0" w:footer="790" w:top="1500" w:bottom="980" w:left="1720" w:right="1200"/>
        </w:sectPr>
      </w:pPr>
    </w:p>
    <w:p>
      <w:pPr>
        <w:pStyle w:val="BodyText"/>
        <w:spacing w:line="491" w:lineRule="auto" w:before="105"/>
        <w:ind w:left="400" w:right="2143"/>
        <w:jc w:val="both"/>
      </w:pPr>
      <w:r>
        <w:rPr>
          <w:w w:val="105"/>
        </w:rPr>
        <w:t>alla Società di procedere con un ordinato e profittevole realizzo e, in definitiva, con l’esecuzione del Piano proposto con la presente memoria.</w:t>
      </w:r>
    </w:p>
    <w:p>
      <w:pPr>
        <w:pStyle w:val="BodyText"/>
        <w:spacing w:line="491" w:lineRule="auto" w:before="1"/>
        <w:ind w:left="400" w:right="2141"/>
        <w:jc w:val="both"/>
      </w:pPr>
      <w:r>
        <w:rPr>
          <w:w w:val="105"/>
        </w:rPr>
        <w:t>La Società, dunque, in conformità con il Piano e con il Piano di Cassa prevede una gestione con sola operatività di mantenimento, esclusivamente finalizzata all’esecuzione del Piano stesso e per il tempo necessario alla liquidazione satisfattiva dei Creditori secondo il cronoprogramma del Piano </w:t>
      </w:r>
      <w:r>
        <w:rPr/>
        <w:t>di Ripagamento.</w:t>
      </w:r>
    </w:p>
    <w:p>
      <w:pPr>
        <w:pStyle w:val="BodyText"/>
        <w:spacing w:line="491" w:lineRule="auto" w:before="1"/>
        <w:ind w:left="400" w:right="2142"/>
        <w:jc w:val="both"/>
      </w:pPr>
      <w:r>
        <w:rPr>
          <w:w w:val="105"/>
        </w:rPr>
        <w:t>Ovviamente, nel caso in cui la liquidazione si dovesse concludere in un arco temporale</w:t>
      </w:r>
      <w:r>
        <w:rPr>
          <w:spacing w:val="-14"/>
          <w:w w:val="105"/>
        </w:rPr>
        <w:t> </w:t>
      </w:r>
      <w:r>
        <w:rPr>
          <w:w w:val="105"/>
        </w:rPr>
        <w:t>più</w:t>
      </w:r>
      <w:r>
        <w:rPr>
          <w:spacing w:val="-12"/>
          <w:w w:val="105"/>
        </w:rPr>
        <w:t> </w:t>
      </w:r>
      <w:r>
        <w:rPr>
          <w:w w:val="105"/>
        </w:rPr>
        <w:t>breve,</w:t>
      </w:r>
      <w:r>
        <w:rPr>
          <w:spacing w:val="-12"/>
          <w:w w:val="105"/>
        </w:rPr>
        <w:t> </w:t>
      </w:r>
      <w:r>
        <w:rPr>
          <w:w w:val="105"/>
        </w:rPr>
        <w:t>rispetto</w:t>
      </w:r>
      <w:r>
        <w:rPr>
          <w:spacing w:val="-11"/>
          <w:w w:val="105"/>
        </w:rPr>
        <w:t> </w:t>
      </w:r>
      <w:r>
        <w:rPr>
          <w:w w:val="105"/>
        </w:rPr>
        <w:t>alle</w:t>
      </w:r>
      <w:r>
        <w:rPr>
          <w:spacing w:val="-12"/>
          <w:w w:val="105"/>
        </w:rPr>
        <w:t> </w:t>
      </w:r>
      <w:r>
        <w:rPr>
          <w:w w:val="105"/>
        </w:rPr>
        <w:t>previsioni</w:t>
      </w:r>
      <w:r>
        <w:rPr>
          <w:spacing w:val="-14"/>
          <w:w w:val="105"/>
        </w:rPr>
        <w:t> </w:t>
      </w:r>
      <w:r>
        <w:rPr>
          <w:w w:val="105"/>
        </w:rPr>
        <w:t>di</w:t>
      </w:r>
      <w:r>
        <w:rPr>
          <w:spacing w:val="-12"/>
          <w:w w:val="105"/>
        </w:rPr>
        <w:t> </w:t>
      </w:r>
      <w:r>
        <w:rPr>
          <w:w w:val="105"/>
        </w:rPr>
        <w:t>Piano,</w:t>
      </w:r>
      <w:r>
        <w:rPr>
          <w:spacing w:val="-12"/>
          <w:w w:val="105"/>
        </w:rPr>
        <w:t> </w:t>
      </w:r>
      <w:r>
        <w:rPr>
          <w:w w:val="105"/>
        </w:rPr>
        <w:t>le</w:t>
      </w:r>
      <w:r>
        <w:rPr>
          <w:spacing w:val="-11"/>
          <w:w w:val="105"/>
        </w:rPr>
        <w:t> </w:t>
      </w:r>
      <w:r>
        <w:rPr>
          <w:w w:val="105"/>
        </w:rPr>
        <w:t>somme</w:t>
      </w:r>
      <w:r>
        <w:rPr>
          <w:spacing w:val="-11"/>
          <w:w w:val="105"/>
        </w:rPr>
        <w:t> </w:t>
      </w:r>
      <w:r>
        <w:rPr>
          <w:w w:val="105"/>
        </w:rPr>
        <w:t>appostate</w:t>
      </w:r>
      <w:r>
        <w:rPr>
          <w:spacing w:val="-11"/>
          <w:w w:val="105"/>
        </w:rPr>
        <w:t> </w:t>
      </w:r>
      <w:r>
        <w:rPr>
          <w:w w:val="105"/>
        </w:rPr>
        <w:t>nel Piano</w:t>
      </w:r>
      <w:r>
        <w:rPr>
          <w:spacing w:val="-16"/>
          <w:w w:val="105"/>
        </w:rPr>
        <w:t> </w:t>
      </w:r>
      <w:r>
        <w:rPr>
          <w:w w:val="105"/>
        </w:rPr>
        <w:t>di</w:t>
      </w:r>
      <w:r>
        <w:rPr>
          <w:spacing w:val="-15"/>
          <w:w w:val="105"/>
        </w:rPr>
        <w:t> </w:t>
      </w:r>
      <w:r>
        <w:rPr>
          <w:w w:val="105"/>
        </w:rPr>
        <w:t>Cassa,</w:t>
      </w:r>
      <w:r>
        <w:rPr>
          <w:spacing w:val="-15"/>
          <w:w w:val="105"/>
        </w:rPr>
        <w:t> </w:t>
      </w:r>
      <w:r>
        <w:rPr>
          <w:w w:val="105"/>
        </w:rPr>
        <w:t>per</w:t>
      </w:r>
      <w:r>
        <w:rPr>
          <w:spacing w:val="-15"/>
          <w:w w:val="105"/>
        </w:rPr>
        <w:t> </w:t>
      </w:r>
      <w:r>
        <w:rPr>
          <w:w w:val="105"/>
        </w:rPr>
        <w:t>la</w:t>
      </w:r>
      <w:r>
        <w:rPr>
          <w:spacing w:val="-14"/>
          <w:w w:val="105"/>
        </w:rPr>
        <w:t> </w:t>
      </w:r>
      <w:r>
        <w:rPr>
          <w:w w:val="105"/>
        </w:rPr>
        <w:t>gestione</w:t>
      </w:r>
      <w:r>
        <w:rPr>
          <w:spacing w:val="-15"/>
          <w:w w:val="105"/>
        </w:rPr>
        <w:t> </w:t>
      </w:r>
      <w:r>
        <w:rPr>
          <w:w w:val="105"/>
        </w:rPr>
        <w:t>della</w:t>
      </w:r>
      <w:r>
        <w:rPr>
          <w:spacing w:val="-15"/>
          <w:w w:val="105"/>
        </w:rPr>
        <w:t> </w:t>
      </w:r>
      <w:r>
        <w:rPr>
          <w:w w:val="105"/>
        </w:rPr>
        <w:t>liquidazione</w:t>
      </w:r>
      <w:r>
        <w:rPr>
          <w:spacing w:val="-16"/>
          <w:w w:val="105"/>
        </w:rPr>
        <w:t> </w:t>
      </w:r>
      <w:r>
        <w:rPr>
          <w:w w:val="105"/>
        </w:rPr>
        <w:t>stessa,</w:t>
      </w:r>
      <w:r>
        <w:rPr>
          <w:spacing w:val="-15"/>
          <w:w w:val="105"/>
        </w:rPr>
        <w:t> </w:t>
      </w:r>
      <w:r>
        <w:rPr>
          <w:w w:val="105"/>
        </w:rPr>
        <w:t>verrebbero</w:t>
      </w:r>
      <w:r>
        <w:rPr>
          <w:spacing w:val="-15"/>
          <w:w w:val="105"/>
        </w:rPr>
        <w:t> </w:t>
      </w:r>
      <w:r>
        <w:rPr>
          <w:w w:val="105"/>
        </w:rPr>
        <w:t>liberate</w:t>
      </w:r>
      <w:r>
        <w:rPr>
          <w:spacing w:val="-14"/>
          <w:w w:val="105"/>
        </w:rPr>
        <w:t> </w:t>
      </w:r>
      <w:r>
        <w:rPr>
          <w:w w:val="105"/>
        </w:rPr>
        <w:t>in</w:t>
      </w:r>
    </w:p>
    <w:p>
      <w:pPr>
        <w:spacing w:after="0" w:line="491" w:lineRule="auto"/>
        <w:jc w:val="both"/>
        <w:sectPr>
          <w:pgSz w:w="12240" w:h="15840"/>
          <w:pgMar w:header="0" w:footer="790" w:top="1500" w:bottom="980" w:left="1720" w:right="1200"/>
        </w:sectPr>
      </w:pPr>
    </w:p>
    <w:p>
      <w:pPr>
        <w:pStyle w:val="BodyText"/>
        <w:spacing w:before="1"/>
        <w:ind w:left="400"/>
      </w:pPr>
      <w:r>
        <w:rPr>
          <w:w w:val="105"/>
        </w:rPr>
        <w:t>favore dei creditori chirografari.</w:t>
      </w:r>
    </w:p>
    <w:p>
      <w:pPr>
        <w:pStyle w:val="BodyText"/>
        <w:rPr>
          <w:sz w:val="24"/>
        </w:rPr>
      </w:pPr>
    </w:p>
    <w:p>
      <w:pPr>
        <w:pStyle w:val="BodyText"/>
        <w:rPr>
          <w:sz w:val="24"/>
        </w:rPr>
      </w:pPr>
    </w:p>
    <w:p>
      <w:pPr>
        <w:pStyle w:val="Heading1"/>
        <w:numPr>
          <w:ilvl w:val="1"/>
          <w:numId w:val="18"/>
        </w:numPr>
        <w:tabs>
          <w:tab w:pos="1066" w:val="left" w:leader="none"/>
          <w:tab w:pos="1067" w:val="left" w:leader="none"/>
        </w:tabs>
        <w:spacing w:line="240" w:lineRule="auto" w:before="210" w:after="0"/>
        <w:ind w:left="1066" w:right="0" w:hanging="666"/>
        <w:jc w:val="left"/>
      </w:pPr>
      <w:bookmarkStart w:name="_TOC_250020" w:id="32"/>
      <w:r>
        <w:rPr>
          <w:w w:val="95"/>
          <w:u w:val="single"/>
        </w:rPr>
        <w:t>Segue: l’Impegno</w:t>
      </w:r>
      <w:r>
        <w:rPr>
          <w:spacing w:val="-41"/>
          <w:w w:val="95"/>
          <w:u w:val="single"/>
        </w:rPr>
        <w:t> </w:t>
      </w:r>
      <w:bookmarkEnd w:id="32"/>
      <w:r>
        <w:rPr>
          <w:w w:val="95"/>
          <w:u w:val="single"/>
        </w:rPr>
        <w:t>Ghisolfi</w:t>
      </w:r>
    </w:p>
    <w:p>
      <w:pPr>
        <w:pStyle w:val="BodyText"/>
        <w:rPr>
          <w:b/>
          <w:i/>
          <w:sz w:val="24"/>
        </w:rPr>
      </w:pPr>
      <w:r>
        <w:rPr/>
        <w:br w:type="column"/>
      </w:r>
      <w:r>
        <w:rPr>
          <w:b/>
          <w:i/>
          <w:sz w:val="24"/>
        </w:rPr>
      </w:r>
    </w:p>
    <w:p>
      <w:pPr>
        <w:pStyle w:val="BodyText"/>
        <w:spacing w:before="2"/>
        <w:rPr>
          <w:b/>
          <w:i/>
          <w:sz w:val="21"/>
        </w:rPr>
      </w:pPr>
    </w:p>
    <w:p>
      <w:pPr>
        <w:pStyle w:val="BodyText"/>
        <w:ind w:left="-11"/>
      </w:pPr>
      <w:r>
        <w:rPr>
          <w:w w:val="105"/>
        </w:rPr>
        <w:t>* * *</w:t>
      </w:r>
    </w:p>
    <w:p>
      <w:pPr>
        <w:spacing w:after="0"/>
        <w:sectPr>
          <w:type w:val="continuous"/>
          <w:pgSz w:w="12240" w:h="15840"/>
          <w:pgMar w:top="1220" w:bottom="980" w:left="1720" w:right="1200"/>
          <w:cols w:num="2" w:equalWidth="0">
            <w:col w:w="3557" w:space="40"/>
            <w:col w:w="5723"/>
          </w:cols>
        </w:sectPr>
      </w:pPr>
    </w:p>
    <w:p>
      <w:pPr>
        <w:pStyle w:val="BodyText"/>
        <w:spacing w:before="4"/>
        <w:rPr>
          <w:sz w:val="13"/>
        </w:rPr>
      </w:pPr>
    </w:p>
    <w:p>
      <w:pPr>
        <w:pStyle w:val="BodyText"/>
        <w:spacing w:line="491" w:lineRule="auto" w:before="105"/>
        <w:ind w:left="400" w:right="2196"/>
        <w:jc w:val="both"/>
      </w:pPr>
      <w:r>
        <w:rPr>
          <w:w w:val="105"/>
        </w:rPr>
        <w:t>Al fine di sostenere il buon esito del processo di ristrutturazione unitariamente</w:t>
      </w:r>
      <w:r>
        <w:rPr>
          <w:spacing w:val="-21"/>
          <w:w w:val="105"/>
        </w:rPr>
        <w:t> </w:t>
      </w:r>
      <w:r>
        <w:rPr>
          <w:w w:val="105"/>
        </w:rPr>
        <w:t>intrapreso</w:t>
      </w:r>
      <w:r>
        <w:rPr>
          <w:spacing w:val="-20"/>
          <w:w w:val="105"/>
        </w:rPr>
        <w:t> </w:t>
      </w:r>
      <w:r>
        <w:rPr>
          <w:w w:val="105"/>
        </w:rPr>
        <w:t>dalle</w:t>
      </w:r>
      <w:r>
        <w:rPr>
          <w:spacing w:val="-20"/>
          <w:w w:val="105"/>
        </w:rPr>
        <w:t> </w:t>
      </w:r>
      <w:r>
        <w:rPr>
          <w:w w:val="105"/>
        </w:rPr>
        <w:t>Società</w:t>
      </w:r>
      <w:r>
        <w:rPr>
          <w:spacing w:val="-20"/>
          <w:w w:val="105"/>
        </w:rPr>
        <w:t> </w:t>
      </w:r>
      <w:r>
        <w:rPr>
          <w:w w:val="105"/>
        </w:rPr>
        <w:t>del</w:t>
      </w:r>
      <w:r>
        <w:rPr>
          <w:spacing w:val="-20"/>
          <w:w w:val="105"/>
        </w:rPr>
        <w:t> </w:t>
      </w:r>
      <w:r>
        <w:rPr>
          <w:w w:val="105"/>
        </w:rPr>
        <w:t>Gruppo</w:t>
      </w:r>
      <w:r>
        <w:rPr>
          <w:spacing w:val="-20"/>
          <w:w w:val="105"/>
        </w:rPr>
        <w:t> </w:t>
      </w:r>
      <w:r>
        <w:rPr>
          <w:w w:val="105"/>
        </w:rPr>
        <w:t>M&amp;G</w:t>
      </w:r>
      <w:r>
        <w:rPr>
          <w:spacing w:val="-20"/>
          <w:w w:val="105"/>
        </w:rPr>
        <w:t> </w:t>
      </w:r>
      <w:r>
        <w:rPr>
          <w:w w:val="105"/>
        </w:rPr>
        <w:t>e</w:t>
      </w:r>
      <w:r>
        <w:rPr>
          <w:spacing w:val="-20"/>
          <w:w w:val="105"/>
        </w:rPr>
        <w:t> </w:t>
      </w:r>
      <w:r>
        <w:rPr>
          <w:w w:val="105"/>
        </w:rPr>
        <w:t>subordinatamente all’emissione</w:t>
      </w:r>
      <w:r>
        <w:rPr>
          <w:spacing w:val="-15"/>
          <w:w w:val="105"/>
        </w:rPr>
        <w:t> </w:t>
      </w:r>
      <w:r>
        <w:rPr>
          <w:w w:val="105"/>
        </w:rPr>
        <w:t>dei</w:t>
      </w:r>
      <w:r>
        <w:rPr>
          <w:spacing w:val="-15"/>
          <w:w w:val="105"/>
        </w:rPr>
        <w:t> </w:t>
      </w:r>
      <w:r>
        <w:rPr>
          <w:w w:val="105"/>
        </w:rPr>
        <w:t>decreti</w:t>
      </w:r>
      <w:r>
        <w:rPr>
          <w:spacing w:val="-14"/>
          <w:w w:val="105"/>
        </w:rPr>
        <w:t> </w:t>
      </w:r>
      <w:r>
        <w:rPr>
          <w:w w:val="105"/>
        </w:rPr>
        <w:t>di</w:t>
      </w:r>
      <w:r>
        <w:rPr>
          <w:spacing w:val="-14"/>
          <w:w w:val="105"/>
        </w:rPr>
        <w:t> </w:t>
      </w:r>
      <w:r>
        <w:rPr>
          <w:w w:val="105"/>
        </w:rPr>
        <w:t>omologazione,</w:t>
      </w:r>
      <w:r>
        <w:rPr>
          <w:spacing w:val="-14"/>
          <w:w w:val="105"/>
        </w:rPr>
        <w:t> </w:t>
      </w:r>
      <w:r>
        <w:rPr>
          <w:w w:val="105"/>
        </w:rPr>
        <w:t>anche</w:t>
      </w:r>
      <w:r>
        <w:rPr>
          <w:spacing w:val="-14"/>
          <w:w w:val="105"/>
        </w:rPr>
        <w:t> </w:t>
      </w:r>
      <w:r>
        <w:rPr>
          <w:w w:val="105"/>
        </w:rPr>
        <w:t>provvisoriamente</w:t>
      </w:r>
      <w:r>
        <w:rPr>
          <w:spacing w:val="-14"/>
          <w:w w:val="105"/>
        </w:rPr>
        <w:t> </w:t>
      </w:r>
      <w:r>
        <w:rPr>
          <w:w w:val="105"/>
        </w:rPr>
        <w:t>esecutivi, del Concordato Preventivo di tutte le Società del Perimetro Bio, il Dott. Marco Ghisolfi, ha assunto, anche per conto di Vittorio Ghisolfi, Anna e Enrico Merli, Ivana Tanzi, Andrea Riccardo Ghisolfi, Alessandra Micol Ghisolfi, Alberto Filippo Ghisolfi e Adelaide Ghisolfi, i seguenti impegni irrevocabili</w:t>
      </w:r>
      <w:r>
        <w:rPr>
          <w:spacing w:val="-30"/>
          <w:w w:val="105"/>
        </w:rPr>
        <w:t> </w:t>
      </w:r>
      <w:r>
        <w:rPr>
          <w:w w:val="105"/>
        </w:rPr>
        <w:t>(doc.</w:t>
      </w:r>
      <w:r>
        <w:rPr>
          <w:spacing w:val="-30"/>
          <w:w w:val="105"/>
        </w:rPr>
        <w:t> </w:t>
      </w:r>
      <w:r>
        <w:rPr>
          <w:w w:val="105"/>
        </w:rPr>
        <w:t>67/A):</w:t>
      </w:r>
    </w:p>
    <w:p>
      <w:pPr>
        <w:pStyle w:val="ListParagraph"/>
        <w:numPr>
          <w:ilvl w:val="0"/>
          <w:numId w:val="23"/>
        </w:numPr>
        <w:tabs>
          <w:tab w:pos="935" w:val="left" w:leader="none"/>
        </w:tabs>
        <w:spacing w:line="254" w:lineRule="exact" w:before="0" w:after="0"/>
        <w:ind w:left="934" w:right="0" w:hanging="490"/>
        <w:jc w:val="both"/>
        <w:rPr>
          <w:sz w:val="22"/>
        </w:rPr>
      </w:pPr>
      <w:r>
        <w:rPr>
          <w:w w:val="105"/>
          <w:sz w:val="22"/>
        </w:rPr>
        <w:t>erogare nella forma tecnica che sarà concordata e secondo i  seguenti</w:t>
      </w:r>
    </w:p>
    <w:p>
      <w:pPr>
        <w:pStyle w:val="BodyText"/>
        <w:spacing w:before="7"/>
      </w:pPr>
    </w:p>
    <w:p>
      <w:pPr>
        <w:pStyle w:val="BodyText"/>
        <w:ind w:left="934"/>
      </w:pPr>
      <w:r>
        <w:rPr>
          <w:w w:val="105"/>
        </w:rPr>
        <w:t>criteri di ripartizione proporzionale:</w:t>
      </w:r>
    </w:p>
    <w:p>
      <w:pPr>
        <w:spacing w:after="0"/>
        <w:sectPr>
          <w:type w:val="continuous"/>
          <w:pgSz w:w="12240" w:h="15840"/>
          <w:pgMar w:top="1220" w:bottom="980" w:left="1720" w:right="1200"/>
        </w:sectPr>
      </w:pPr>
    </w:p>
    <w:p>
      <w:pPr>
        <w:pStyle w:val="ListParagraph"/>
        <w:numPr>
          <w:ilvl w:val="1"/>
          <w:numId w:val="23"/>
        </w:numPr>
        <w:tabs>
          <w:tab w:pos="1868" w:val="left" w:leader="none"/>
        </w:tabs>
        <w:spacing w:line="491" w:lineRule="auto" w:before="105" w:after="0"/>
        <w:ind w:left="1868" w:right="2197" w:hanging="401"/>
        <w:jc w:val="both"/>
        <w:rPr>
          <w:sz w:val="22"/>
        </w:rPr>
      </w:pPr>
      <w:r>
        <w:rPr>
          <w:w w:val="105"/>
          <w:sz w:val="22"/>
        </w:rPr>
        <w:t>Euro 350.000,00 (trecentocinquantamila /00) in favore di Beta,</w:t>
      </w:r>
      <w:r>
        <w:rPr>
          <w:spacing w:val="-7"/>
          <w:w w:val="105"/>
          <w:sz w:val="22"/>
        </w:rPr>
        <w:t> </w:t>
      </w:r>
      <w:r>
        <w:rPr>
          <w:w w:val="105"/>
          <w:sz w:val="22"/>
        </w:rPr>
        <w:t>come</w:t>
      </w:r>
      <w:r>
        <w:rPr>
          <w:spacing w:val="-7"/>
          <w:w w:val="105"/>
          <w:sz w:val="22"/>
        </w:rPr>
        <w:t> </w:t>
      </w:r>
      <w:r>
        <w:rPr>
          <w:w w:val="105"/>
          <w:sz w:val="22"/>
        </w:rPr>
        <w:t>da</w:t>
      </w:r>
      <w:r>
        <w:rPr>
          <w:spacing w:val="-8"/>
          <w:w w:val="105"/>
          <w:sz w:val="22"/>
        </w:rPr>
        <w:t> </w:t>
      </w:r>
      <w:r>
        <w:rPr>
          <w:w w:val="105"/>
          <w:sz w:val="22"/>
        </w:rPr>
        <w:t>versamento</w:t>
      </w:r>
      <w:r>
        <w:rPr>
          <w:spacing w:val="-7"/>
          <w:w w:val="105"/>
          <w:sz w:val="22"/>
        </w:rPr>
        <w:t> </w:t>
      </w:r>
      <w:r>
        <w:rPr>
          <w:w w:val="105"/>
          <w:sz w:val="22"/>
        </w:rPr>
        <w:t>già</w:t>
      </w:r>
      <w:r>
        <w:rPr>
          <w:spacing w:val="-7"/>
          <w:w w:val="105"/>
          <w:sz w:val="22"/>
        </w:rPr>
        <w:t> </w:t>
      </w:r>
      <w:r>
        <w:rPr>
          <w:w w:val="105"/>
          <w:sz w:val="22"/>
        </w:rPr>
        <w:t>eseguito,</w:t>
      </w:r>
      <w:r>
        <w:rPr>
          <w:spacing w:val="-9"/>
          <w:w w:val="105"/>
          <w:sz w:val="22"/>
        </w:rPr>
        <w:t> </w:t>
      </w:r>
      <w:r>
        <w:rPr>
          <w:w w:val="105"/>
          <w:sz w:val="22"/>
        </w:rPr>
        <w:t>a</w:t>
      </w:r>
      <w:r>
        <w:rPr>
          <w:spacing w:val="-7"/>
          <w:w w:val="105"/>
          <w:sz w:val="22"/>
        </w:rPr>
        <w:t> </w:t>
      </w:r>
      <w:r>
        <w:rPr>
          <w:w w:val="105"/>
          <w:sz w:val="22"/>
        </w:rPr>
        <w:t>fondo</w:t>
      </w:r>
      <w:r>
        <w:rPr>
          <w:spacing w:val="-7"/>
          <w:w w:val="105"/>
          <w:sz w:val="22"/>
        </w:rPr>
        <w:t> </w:t>
      </w:r>
      <w:r>
        <w:rPr>
          <w:w w:val="105"/>
          <w:sz w:val="22"/>
        </w:rPr>
        <w:t>perduto,</w:t>
      </w:r>
      <w:r>
        <w:rPr>
          <w:spacing w:val="-6"/>
          <w:w w:val="105"/>
          <w:sz w:val="22"/>
        </w:rPr>
        <w:t> </w:t>
      </w:r>
      <w:r>
        <w:rPr>
          <w:w w:val="105"/>
          <w:sz w:val="22"/>
        </w:rPr>
        <w:t>in data</w:t>
      </w:r>
      <w:r>
        <w:rPr>
          <w:spacing w:val="-29"/>
          <w:w w:val="105"/>
          <w:sz w:val="22"/>
        </w:rPr>
        <w:t> </w:t>
      </w:r>
      <w:r>
        <w:rPr>
          <w:w w:val="105"/>
          <w:sz w:val="22"/>
        </w:rPr>
        <w:t>odierna</w:t>
      </w:r>
    </w:p>
    <w:p>
      <w:pPr>
        <w:pStyle w:val="ListParagraph"/>
        <w:numPr>
          <w:ilvl w:val="1"/>
          <w:numId w:val="23"/>
        </w:numPr>
        <w:tabs>
          <w:tab w:pos="1868" w:val="left" w:leader="none"/>
        </w:tabs>
        <w:spacing w:line="491" w:lineRule="auto" w:before="0" w:after="0"/>
        <w:ind w:left="1868" w:right="2198" w:hanging="401"/>
        <w:jc w:val="both"/>
        <w:rPr>
          <w:sz w:val="22"/>
        </w:rPr>
      </w:pPr>
      <w:r>
        <w:rPr>
          <w:w w:val="105"/>
          <w:sz w:val="22"/>
        </w:rPr>
        <w:t>Euro</w:t>
      </w:r>
      <w:r>
        <w:rPr>
          <w:spacing w:val="-18"/>
          <w:w w:val="105"/>
          <w:sz w:val="22"/>
        </w:rPr>
        <w:t> </w:t>
      </w:r>
      <w:r>
        <w:rPr>
          <w:w w:val="105"/>
          <w:sz w:val="22"/>
        </w:rPr>
        <w:t>325.000,00</w:t>
      </w:r>
      <w:r>
        <w:rPr>
          <w:spacing w:val="-18"/>
          <w:w w:val="105"/>
          <w:sz w:val="22"/>
        </w:rPr>
        <w:t> </w:t>
      </w:r>
      <w:r>
        <w:rPr>
          <w:w w:val="105"/>
          <w:sz w:val="22"/>
        </w:rPr>
        <w:t>(trecentoventicinquemila</w:t>
      </w:r>
      <w:r>
        <w:rPr>
          <w:spacing w:val="-19"/>
          <w:w w:val="105"/>
          <w:sz w:val="22"/>
        </w:rPr>
        <w:t> </w:t>
      </w:r>
      <w:r>
        <w:rPr>
          <w:w w:val="105"/>
          <w:sz w:val="22"/>
        </w:rPr>
        <w:t>/</w:t>
      </w:r>
      <w:r>
        <w:rPr>
          <w:spacing w:val="-18"/>
          <w:w w:val="105"/>
          <w:sz w:val="22"/>
        </w:rPr>
        <w:t> </w:t>
      </w:r>
      <w:r>
        <w:rPr>
          <w:w w:val="105"/>
          <w:sz w:val="22"/>
        </w:rPr>
        <w:t>00)</w:t>
      </w:r>
      <w:r>
        <w:rPr>
          <w:spacing w:val="-18"/>
          <w:w w:val="105"/>
          <w:sz w:val="22"/>
        </w:rPr>
        <w:t> </w:t>
      </w:r>
      <w:r>
        <w:rPr>
          <w:w w:val="105"/>
          <w:sz w:val="22"/>
        </w:rPr>
        <w:t>in</w:t>
      </w:r>
      <w:r>
        <w:rPr>
          <w:spacing w:val="-18"/>
          <w:w w:val="105"/>
          <w:sz w:val="22"/>
        </w:rPr>
        <w:t> </w:t>
      </w:r>
      <w:r>
        <w:rPr>
          <w:w w:val="105"/>
          <w:sz w:val="22"/>
        </w:rPr>
        <w:t>favore</w:t>
      </w:r>
      <w:r>
        <w:rPr>
          <w:spacing w:val="-18"/>
          <w:w w:val="105"/>
          <w:sz w:val="22"/>
        </w:rPr>
        <w:t> </w:t>
      </w:r>
      <w:r>
        <w:rPr>
          <w:w w:val="105"/>
          <w:sz w:val="22"/>
        </w:rPr>
        <w:t>di Biochemtex,</w:t>
      </w:r>
    </w:p>
    <w:p>
      <w:pPr>
        <w:pStyle w:val="ListParagraph"/>
        <w:numPr>
          <w:ilvl w:val="1"/>
          <w:numId w:val="23"/>
        </w:numPr>
        <w:tabs>
          <w:tab w:pos="1868" w:val="left" w:leader="none"/>
        </w:tabs>
        <w:spacing w:line="491" w:lineRule="auto" w:before="2" w:after="0"/>
        <w:ind w:left="1868" w:right="2198" w:hanging="401"/>
        <w:jc w:val="both"/>
        <w:rPr>
          <w:sz w:val="22"/>
        </w:rPr>
      </w:pPr>
      <w:r>
        <w:rPr>
          <w:w w:val="105"/>
          <w:sz w:val="22"/>
        </w:rPr>
        <w:t>Euro</w:t>
      </w:r>
      <w:r>
        <w:rPr>
          <w:spacing w:val="-18"/>
          <w:w w:val="105"/>
          <w:sz w:val="22"/>
        </w:rPr>
        <w:t> </w:t>
      </w:r>
      <w:r>
        <w:rPr>
          <w:w w:val="105"/>
          <w:sz w:val="22"/>
        </w:rPr>
        <w:t>325.000,00</w:t>
      </w:r>
      <w:r>
        <w:rPr>
          <w:spacing w:val="-18"/>
          <w:w w:val="105"/>
          <w:sz w:val="22"/>
        </w:rPr>
        <w:t> </w:t>
      </w:r>
      <w:r>
        <w:rPr>
          <w:w w:val="105"/>
          <w:sz w:val="22"/>
        </w:rPr>
        <w:t>(trecentoventicinquemila</w:t>
      </w:r>
      <w:r>
        <w:rPr>
          <w:spacing w:val="-19"/>
          <w:w w:val="105"/>
          <w:sz w:val="22"/>
        </w:rPr>
        <w:t> </w:t>
      </w:r>
      <w:r>
        <w:rPr>
          <w:w w:val="105"/>
          <w:sz w:val="22"/>
        </w:rPr>
        <w:t>/</w:t>
      </w:r>
      <w:r>
        <w:rPr>
          <w:spacing w:val="-18"/>
          <w:w w:val="105"/>
          <w:sz w:val="22"/>
        </w:rPr>
        <w:t> </w:t>
      </w:r>
      <w:r>
        <w:rPr>
          <w:w w:val="105"/>
          <w:sz w:val="22"/>
        </w:rPr>
        <w:t>00)</w:t>
      </w:r>
      <w:r>
        <w:rPr>
          <w:spacing w:val="-18"/>
          <w:w w:val="105"/>
          <w:sz w:val="22"/>
        </w:rPr>
        <w:t> </w:t>
      </w:r>
      <w:r>
        <w:rPr>
          <w:w w:val="105"/>
          <w:sz w:val="22"/>
        </w:rPr>
        <w:t>in</w:t>
      </w:r>
      <w:r>
        <w:rPr>
          <w:spacing w:val="-18"/>
          <w:w w:val="105"/>
          <w:sz w:val="22"/>
        </w:rPr>
        <w:t> </w:t>
      </w:r>
      <w:r>
        <w:rPr>
          <w:w w:val="105"/>
          <w:sz w:val="22"/>
        </w:rPr>
        <w:t>favore</w:t>
      </w:r>
      <w:r>
        <w:rPr>
          <w:spacing w:val="-18"/>
          <w:w w:val="105"/>
          <w:sz w:val="22"/>
        </w:rPr>
        <w:t> </w:t>
      </w:r>
      <w:r>
        <w:rPr>
          <w:w w:val="105"/>
          <w:sz w:val="22"/>
        </w:rPr>
        <w:t>di IBP,</w:t>
      </w:r>
    </w:p>
    <w:p>
      <w:pPr>
        <w:pStyle w:val="BodyText"/>
        <w:spacing w:line="491" w:lineRule="auto" w:before="1"/>
        <w:ind w:left="1467" w:right="2200"/>
      </w:pPr>
      <w:r>
        <w:rPr>
          <w:w w:val="105"/>
        </w:rPr>
        <w:t>e così per un importo aggregato di Euro 1.000.000,00 (un milione / 00);</w:t>
      </w:r>
    </w:p>
    <w:p>
      <w:pPr>
        <w:pStyle w:val="ListParagraph"/>
        <w:numPr>
          <w:ilvl w:val="0"/>
          <w:numId w:val="23"/>
        </w:numPr>
        <w:tabs>
          <w:tab w:pos="934" w:val="left" w:leader="none"/>
          <w:tab w:pos="935" w:val="left" w:leader="none"/>
        </w:tabs>
        <w:spacing w:line="253" w:lineRule="exact" w:before="0" w:after="0"/>
        <w:ind w:left="934" w:right="0" w:hanging="553"/>
        <w:jc w:val="left"/>
        <w:rPr>
          <w:sz w:val="22"/>
        </w:rPr>
      </w:pPr>
      <w:r>
        <w:rPr>
          <w:w w:val="105"/>
          <w:sz w:val="22"/>
        </w:rPr>
        <w:t>erogare gli importi di cui al punto (i), da (b) a (c), a semplice</w:t>
      </w:r>
      <w:r>
        <w:rPr>
          <w:spacing w:val="16"/>
          <w:w w:val="105"/>
          <w:sz w:val="22"/>
        </w:rPr>
        <w:t> </w:t>
      </w:r>
      <w:r>
        <w:rPr>
          <w:w w:val="105"/>
          <w:sz w:val="22"/>
        </w:rPr>
        <w:t>richiesta</w:t>
      </w:r>
    </w:p>
    <w:p>
      <w:pPr>
        <w:pStyle w:val="BodyText"/>
        <w:spacing w:before="9"/>
      </w:pPr>
    </w:p>
    <w:p>
      <w:pPr>
        <w:pStyle w:val="BodyText"/>
        <w:spacing w:line="491" w:lineRule="auto"/>
        <w:ind w:left="934" w:right="2195"/>
        <w:jc w:val="both"/>
      </w:pPr>
      <w:r>
        <w:rPr>
          <w:w w:val="105"/>
        </w:rPr>
        <w:t>delle Società e/o degli organi della procedura del Concordato Preventivo di ciascuna delle stesse, con adempimento della relativa obbligazione</w:t>
      </w:r>
      <w:r>
        <w:rPr>
          <w:spacing w:val="-10"/>
          <w:w w:val="105"/>
        </w:rPr>
        <w:t> </w:t>
      </w:r>
      <w:r>
        <w:rPr>
          <w:w w:val="105"/>
        </w:rPr>
        <w:t>entro</w:t>
      </w:r>
      <w:r>
        <w:rPr>
          <w:spacing w:val="-10"/>
          <w:w w:val="105"/>
        </w:rPr>
        <w:t> </w:t>
      </w:r>
      <w:r>
        <w:rPr>
          <w:w w:val="105"/>
        </w:rPr>
        <w:t>30</w:t>
      </w:r>
      <w:r>
        <w:rPr>
          <w:spacing w:val="-10"/>
          <w:w w:val="105"/>
        </w:rPr>
        <w:t> </w:t>
      </w:r>
      <w:r>
        <w:rPr>
          <w:w w:val="105"/>
        </w:rPr>
        <w:t>(trenta)</w:t>
      </w:r>
      <w:r>
        <w:rPr>
          <w:spacing w:val="-10"/>
          <w:w w:val="105"/>
        </w:rPr>
        <w:t> </w:t>
      </w:r>
      <w:r>
        <w:rPr>
          <w:w w:val="105"/>
        </w:rPr>
        <w:t>giorni</w:t>
      </w:r>
      <w:r>
        <w:rPr>
          <w:spacing w:val="-10"/>
          <w:w w:val="105"/>
        </w:rPr>
        <w:t> </w:t>
      </w:r>
      <w:r>
        <w:rPr>
          <w:w w:val="105"/>
        </w:rPr>
        <w:t>dalla</w:t>
      </w:r>
      <w:r>
        <w:rPr>
          <w:spacing w:val="-10"/>
          <w:w w:val="105"/>
        </w:rPr>
        <w:t> </w:t>
      </w:r>
      <w:r>
        <w:rPr>
          <w:w w:val="105"/>
        </w:rPr>
        <w:t>data</w:t>
      </w:r>
      <w:r>
        <w:rPr>
          <w:spacing w:val="-10"/>
          <w:w w:val="105"/>
        </w:rPr>
        <w:t> </w:t>
      </w:r>
      <w:r>
        <w:rPr>
          <w:w w:val="105"/>
        </w:rPr>
        <w:t>di</w:t>
      </w:r>
      <w:r>
        <w:rPr>
          <w:spacing w:val="-10"/>
          <w:w w:val="105"/>
        </w:rPr>
        <w:t> </w:t>
      </w:r>
      <w:r>
        <w:rPr>
          <w:w w:val="105"/>
        </w:rPr>
        <w:t>esecuzione</w:t>
      </w:r>
      <w:r>
        <w:rPr>
          <w:spacing w:val="-12"/>
          <w:w w:val="105"/>
        </w:rPr>
        <w:t> </w:t>
      </w:r>
      <w:r>
        <w:rPr>
          <w:w w:val="105"/>
        </w:rPr>
        <w:t>del</w:t>
      </w:r>
      <w:r>
        <w:rPr>
          <w:spacing w:val="-10"/>
          <w:w w:val="105"/>
        </w:rPr>
        <w:t> </w:t>
      </w:r>
      <w:r>
        <w:rPr>
          <w:w w:val="105"/>
        </w:rPr>
        <w:t>piano di riparto in favore dei creditori chirografari, indipendentemente dal fatto</w:t>
      </w:r>
      <w:r>
        <w:rPr>
          <w:spacing w:val="-6"/>
          <w:w w:val="105"/>
        </w:rPr>
        <w:t> </w:t>
      </w:r>
      <w:r>
        <w:rPr>
          <w:w w:val="105"/>
        </w:rPr>
        <w:t>che,</w:t>
      </w:r>
      <w:r>
        <w:rPr>
          <w:spacing w:val="-5"/>
          <w:w w:val="105"/>
        </w:rPr>
        <w:t> </w:t>
      </w:r>
      <w:r>
        <w:rPr>
          <w:w w:val="105"/>
        </w:rPr>
        <w:t>alla</w:t>
      </w:r>
      <w:r>
        <w:rPr>
          <w:spacing w:val="-6"/>
          <w:w w:val="105"/>
        </w:rPr>
        <w:t> </w:t>
      </w:r>
      <w:r>
        <w:rPr>
          <w:w w:val="105"/>
        </w:rPr>
        <w:t>stessa</w:t>
      </w:r>
      <w:r>
        <w:rPr>
          <w:spacing w:val="-5"/>
          <w:w w:val="105"/>
        </w:rPr>
        <w:t> </w:t>
      </w:r>
      <w:r>
        <w:rPr>
          <w:w w:val="105"/>
        </w:rPr>
        <w:t>data,</w:t>
      </w:r>
      <w:r>
        <w:rPr>
          <w:spacing w:val="-5"/>
          <w:w w:val="105"/>
        </w:rPr>
        <w:t> </w:t>
      </w:r>
      <w:r>
        <w:rPr>
          <w:w w:val="105"/>
        </w:rPr>
        <w:t>siano</w:t>
      </w:r>
      <w:r>
        <w:rPr>
          <w:spacing w:val="-6"/>
          <w:w w:val="105"/>
        </w:rPr>
        <w:t> </w:t>
      </w:r>
      <w:r>
        <w:rPr>
          <w:w w:val="105"/>
        </w:rPr>
        <w:t>state</w:t>
      </w:r>
      <w:r>
        <w:rPr>
          <w:spacing w:val="-5"/>
          <w:w w:val="105"/>
        </w:rPr>
        <w:t> </w:t>
      </w:r>
      <w:r>
        <w:rPr>
          <w:w w:val="105"/>
        </w:rPr>
        <w:t>liberate,</w:t>
      </w:r>
      <w:r>
        <w:rPr>
          <w:spacing w:val="-6"/>
          <w:w w:val="105"/>
        </w:rPr>
        <w:t> </w:t>
      </w:r>
      <w:r>
        <w:rPr>
          <w:w w:val="105"/>
        </w:rPr>
        <w:t>in</w:t>
      </w:r>
      <w:r>
        <w:rPr>
          <w:spacing w:val="-6"/>
          <w:w w:val="105"/>
        </w:rPr>
        <w:t> </w:t>
      </w:r>
      <w:r>
        <w:rPr>
          <w:w w:val="105"/>
        </w:rPr>
        <w:t>tutto</w:t>
      </w:r>
      <w:r>
        <w:rPr>
          <w:spacing w:val="-5"/>
          <w:w w:val="105"/>
        </w:rPr>
        <w:t> </w:t>
      </w:r>
      <w:r>
        <w:rPr>
          <w:w w:val="105"/>
        </w:rPr>
        <w:t>od</w:t>
      </w:r>
      <w:r>
        <w:rPr>
          <w:spacing w:val="-5"/>
          <w:w w:val="105"/>
        </w:rPr>
        <w:t> </w:t>
      </w:r>
      <w:r>
        <w:rPr>
          <w:w w:val="105"/>
        </w:rPr>
        <w:t>in</w:t>
      </w:r>
      <w:r>
        <w:rPr>
          <w:spacing w:val="-5"/>
          <w:w w:val="105"/>
        </w:rPr>
        <w:t> </w:t>
      </w:r>
      <w:r>
        <w:rPr>
          <w:w w:val="105"/>
        </w:rPr>
        <w:t>parte</w:t>
      </w:r>
      <w:r>
        <w:rPr>
          <w:spacing w:val="-5"/>
          <w:w w:val="105"/>
        </w:rPr>
        <w:t> </w:t>
      </w:r>
      <w:r>
        <w:rPr>
          <w:w w:val="105"/>
        </w:rPr>
        <w:t>e</w:t>
      </w:r>
      <w:r>
        <w:rPr>
          <w:spacing w:val="-5"/>
          <w:w w:val="105"/>
        </w:rPr>
        <w:t> </w:t>
      </w:r>
      <w:r>
        <w:rPr>
          <w:w w:val="105"/>
        </w:rPr>
        <w:t>per quanto possibile, le riserve stanziate in ciascun piano e/o siano stati registrati</w:t>
      </w:r>
      <w:r>
        <w:rPr>
          <w:spacing w:val="-17"/>
          <w:w w:val="105"/>
        </w:rPr>
        <w:t> </w:t>
      </w:r>
      <w:r>
        <w:rPr>
          <w:w w:val="105"/>
        </w:rPr>
        <w:t>incassi</w:t>
      </w:r>
      <w:r>
        <w:rPr>
          <w:spacing w:val="-18"/>
          <w:w w:val="105"/>
        </w:rPr>
        <w:t> </w:t>
      </w:r>
      <w:r>
        <w:rPr>
          <w:w w:val="105"/>
        </w:rPr>
        <w:t>superiori</w:t>
      </w:r>
      <w:r>
        <w:rPr>
          <w:spacing w:val="-20"/>
          <w:w w:val="105"/>
        </w:rPr>
        <w:t> </w:t>
      </w:r>
      <w:r>
        <w:rPr>
          <w:w w:val="105"/>
        </w:rPr>
        <w:t>rispetto</w:t>
      </w:r>
      <w:r>
        <w:rPr>
          <w:spacing w:val="-18"/>
          <w:w w:val="105"/>
        </w:rPr>
        <w:t> </w:t>
      </w:r>
      <w:r>
        <w:rPr>
          <w:w w:val="105"/>
        </w:rPr>
        <w:t>a</w:t>
      </w:r>
      <w:r>
        <w:rPr>
          <w:spacing w:val="-18"/>
          <w:w w:val="105"/>
        </w:rPr>
        <w:t> </w:t>
      </w:r>
      <w:r>
        <w:rPr>
          <w:w w:val="105"/>
        </w:rPr>
        <w:t>quelli</w:t>
      </w:r>
      <w:r>
        <w:rPr>
          <w:spacing w:val="-18"/>
          <w:w w:val="105"/>
        </w:rPr>
        <w:t> </w:t>
      </w:r>
      <w:r>
        <w:rPr>
          <w:w w:val="105"/>
        </w:rPr>
        <w:t>previsti</w:t>
      </w:r>
      <w:r>
        <w:rPr>
          <w:spacing w:val="-17"/>
          <w:w w:val="105"/>
        </w:rPr>
        <w:t> </w:t>
      </w:r>
      <w:r>
        <w:rPr>
          <w:w w:val="105"/>
        </w:rPr>
        <w:t>in</w:t>
      </w:r>
      <w:r>
        <w:rPr>
          <w:spacing w:val="-17"/>
          <w:w w:val="105"/>
        </w:rPr>
        <w:t> </w:t>
      </w:r>
      <w:r>
        <w:rPr>
          <w:w w:val="105"/>
        </w:rPr>
        <w:t>ciascun</w:t>
      </w:r>
      <w:r>
        <w:rPr>
          <w:spacing w:val="-19"/>
          <w:w w:val="105"/>
        </w:rPr>
        <w:t> </w:t>
      </w:r>
      <w:r>
        <w:rPr>
          <w:w w:val="105"/>
        </w:rPr>
        <w:t>piano;</w:t>
      </w:r>
    </w:p>
    <w:p>
      <w:pPr>
        <w:pStyle w:val="ListParagraph"/>
        <w:numPr>
          <w:ilvl w:val="0"/>
          <w:numId w:val="23"/>
        </w:numPr>
        <w:tabs>
          <w:tab w:pos="934" w:val="left" w:leader="none"/>
          <w:tab w:pos="935" w:val="left" w:leader="none"/>
        </w:tabs>
        <w:spacing w:line="253" w:lineRule="exact" w:before="0" w:after="0"/>
        <w:ind w:left="934" w:right="0" w:hanging="617"/>
        <w:jc w:val="left"/>
        <w:rPr>
          <w:sz w:val="22"/>
        </w:rPr>
      </w:pPr>
      <w:r>
        <w:rPr>
          <w:w w:val="105"/>
          <w:sz w:val="22"/>
        </w:rPr>
        <w:t>erogare nella forma tecnica che sarà concordata e secondo i  seguenti</w:t>
      </w:r>
    </w:p>
    <w:p>
      <w:pPr>
        <w:pStyle w:val="BodyText"/>
        <w:spacing w:before="8"/>
      </w:pPr>
    </w:p>
    <w:p>
      <w:pPr>
        <w:pStyle w:val="BodyText"/>
        <w:ind w:left="934"/>
        <w:jc w:val="both"/>
      </w:pPr>
      <w:r>
        <w:rPr>
          <w:w w:val="105"/>
        </w:rPr>
        <w:t>criteri di ripartizione proporzionale:</w:t>
      </w:r>
    </w:p>
    <w:p>
      <w:pPr>
        <w:pStyle w:val="BodyText"/>
        <w:rPr>
          <w:sz w:val="23"/>
        </w:rPr>
      </w:pPr>
    </w:p>
    <w:p>
      <w:pPr>
        <w:pStyle w:val="ListParagraph"/>
        <w:numPr>
          <w:ilvl w:val="1"/>
          <w:numId w:val="23"/>
        </w:numPr>
        <w:tabs>
          <w:tab w:pos="1868" w:val="left" w:leader="none"/>
        </w:tabs>
        <w:spacing w:line="491" w:lineRule="auto" w:before="0" w:after="0"/>
        <w:ind w:left="1867" w:right="2197" w:hanging="400"/>
        <w:jc w:val="both"/>
        <w:rPr>
          <w:sz w:val="22"/>
        </w:rPr>
      </w:pPr>
      <w:r>
        <w:rPr>
          <w:w w:val="105"/>
          <w:sz w:val="22"/>
        </w:rPr>
        <w:t>Euro 350.000,00 (trecentocinquantamila /00) in favore di Beta,</w:t>
      </w:r>
      <w:r>
        <w:rPr>
          <w:spacing w:val="-7"/>
          <w:w w:val="105"/>
          <w:sz w:val="22"/>
        </w:rPr>
        <w:t> </w:t>
      </w:r>
      <w:r>
        <w:rPr>
          <w:w w:val="105"/>
          <w:sz w:val="22"/>
        </w:rPr>
        <w:t>come</w:t>
      </w:r>
      <w:r>
        <w:rPr>
          <w:spacing w:val="-7"/>
          <w:w w:val="105"/>
          <w:sz w:val="22"/>
        </w:rPr>
        <w:t> </w:t>
      </w:r>
      <w:r>
        <w:rPr>
          <w:w w:val="105"/>
          <w:sz w:val="22"/>
        </w:rPr>
        <w:t>da</w:t>
      </w:r>
      <w:r>
        <w:rPr>
          <w:spacing w:val="-8"/>
          <w:w w:val="105"/>
          <w:sz w:val="22"/>
        </w:rPr>
        <w:t> </w:t>
      </w:r>
      <w:r>
        <w:rPr>
          <w:w w:val="105"/>
          <w:sz w:val="22"/>
        </w:rPr>
        <w:t>versamento</w:t>
      </w:r>
      <w:r>
        <w:rPr>
          <w:spacing w:val="-7"/>
          <w:w w:val="105"/>
          <w:sz w:val="22"/>
        </w:rPr>
        <w:t> </w:t>
      </w:r>
      <w:r>
        <w:rPr>
          <w:w w:val="105"/>
          <w:sz w:val="22"/>
        </w:rPr>
        <w:t>già</w:t>
      </w:r>
      <w:r>
        <w:rPr>
          <w:spacing w:val="-7"/>
          <w:w w:val="105"/>
          <w:sz w:val="22"/>
        </w:rPr>
        <w:t> </w:t>
      </w:r>
      <w:r>
        <w:rPr>
          <w:w w:val="105"/>
          <w:sz w:val="22"/>
        </w:rPr>
        <w:t>eseguito,</w:t>
      </w:r>
      <w:r>
        <w:rPr>
          <w:spacing w:val="-9"/>
          <w:w w:val="105"/>
          <w:sz w:val="22"/>
        </w:rPr>
        <w:t> </w:t>
      </w:r>
      <w:r>
        <w:rPr>
          <w:w w:val="105"/>
          <w:sz w:val="22"/>
        </w:rPr>
        <w:t>a</w:t>
      </w:r>
      <w:r>
        <w:rPr>
          <w:spacing w:val="-7"/>
          <w:w w:val="105"/>
          <w:sz w:val="22"/>
        </w:rPr>
        <w:t> </w:t>
      </w:r>
      <w:r>
        <w:rPr>
          <w:w w:val="105"/>
          <w:sz w:val="22"/>
        </w:rPr>
        <w:t>fondo</w:t>
      </w:r>
      <w:r>
        <w:rPr>
          <w:spacing w:val="-7"/>
          <w:w w:val="105"/>
          <w:sz w:val="22"/>
        </w:rPr>
        <w:t> </w:t>
      </w:r>
      <w:r>
        <w:rPr>
          <w:w w:val="105"/>
          <w:sz w:val="22"/>
        </w:rPr>
        <w:t>perduto,</w:t>
      </w:r>
      <w:r>
        <w:rPr>
          <w:spacing w:val="-6"/>
          <w:w w:val="105"/>
          <w:sz w:val="22"/>
        </w:rPr>
        <w:t> </w:t>
      </w:r>
      <w:r>
        <w:rPr>
          <w:w w:val="105"/>
          <w:sz w:val="22"/>
        </w:rPr>
        <w:t>in data</w:t>
      </w:r>
      <w:r>
        <w:rPr>
          <w:spacing w:val="-36"/>
          <w:w w:val="105"/>
          <w:sz w:val="22"/>
        </w:rPr>
        <w:t> </w:t>
      </w:r>
      <w:r>
        <w:rPr>
          <w:w w:val="105"/>
          <w:sz w:val="22"/>
        </w:rPr>
        <w:t>odierna,</w:t>
      </w:r>
    </w:p>
    <w:p>
      <w:pPr>
        <w:pStyle w:val="ListParagraph"/>
        <w:numPr>
          <w:ilvl w:val="1"/>
          <w:numId w:val="23"/>
        </w:numPr>
        <w:tabs>
          <w:tab w:pos="1868" w:val="left" w:leader="none"/>
        </w:tabs>
        <w:spacing w:line="494" w:lineRule="auto" w:before="0" w:after="0"/>
        <w:ind w:left="1867" w:right="2197" w:hanging="400"/>
        <w:jc w:val="both"/>
        <w:rPr>
          <w:sz w:val="22"/>
        </w:rPr>
      </w:pPr>
      <w:r>
        <w:rPr>
          <w:w w:val="105"/>
          <w:sz w:val="22"/>
        </w:rPr>
        <w:t>Euro</w:t>
      </w:r>
      <w:r>
        <w:rPr>
          <w:spacing w:val="-13"/>
          <w:w w:val="105"/>
          <w:sz w:val="22"/>
        </w:rPr>
        <w:t> </w:t>
      </w:r>
      <w:r>
        <w:rPr>
          <w:w w:val="105"/>
          <w:sz w:val="22"/>
        </w:rPr>
        <w:t>219.000,00</w:t>
      </w:r>
      <w:r>
        <w:rPr>
          <w:spacing w:val="-13"/>
          <w:w w:val="105"/>
          <w:sz w:val="22"/>
        </w:rPr>
        <w:t> </w:t>
      </w:r>
      <w:r>
        <w:rPr>
          <w:w w:val="105"/>
          <w:sz w:val="22"/>
        </w:rPr>
        <w:t>(duecentodiciannovemila</w:t>
      </w:r>
      <w:r>
        <w:rPr>
          <w:spacing w:val="-16"/>
          <w:w w:val="105"/>
          <w:sz w:val="22"/>
        </w:rPr>
        <w:t> </w:t>
      </w:r>
      <w:r>
        <w:rPr>
          <w:w w:val="105"/>
          <w:sz w:val="22"/>
        </w:rPr>
        <w:t>/00)</w:t>
      </w:r>
      <w:r>
        <w:rPr>
          <w:spacing w:val="-13"/>
          <w:w w:val="105"/>
          <w:sz w:val="22"/>
        </w:rPr>
        <w:t> </w:t>
      </w:r>
      <w:r>
        <w:rPr>
          <w:w w:val="105"/>
          <w:sz w:val="22"/>
        </w:rPr>
        <w:t>in</w:t>
      </w:r>
      <w:r>
        <w:rPr>
          <w:spacing w:val="-15"/>
          <w:w w:val="105"/>
          <w:sz w:val="22"/>
        </w:rPr>
        <w:t> </w:t>
      </w:r>
      <w:r>
        <w:rPr>
          <w:w w:val="105"/>
          <w:sz w:val="22"/>
        </w:rPr>
        <w:t>favore</w:t>
      </w:r>
      <w:r>
        <w:rPr>
          <w:spacing w:val="-13"/>
          <w:w w:val="105"/>
          <w:sz w:val="22"/>
        </w:rPr>
        <w:t> </w:t>
      </w:r>
      <w:r>
        <w:rPr>
          <w:w w:val="105"/>
          <w:sz w:val="22"/>
        </w:rPr>
        <w:t>di Beta,</w:t>
      </w:r>
    </w:p>
    <w:p>
      <w:pPr>
        <w:spacing w:after="0" w:line="494" w:lineRule="auto"/>
        <w:jc w:val="both"/>
        <w:rPr>
          <w:sz w:val="22"/>
        </w:rPr>
        <w:sectPr>
          <w:pgSz w:w="12240" w:h="15840"/>
          <w:pgMar w:header="0" w:footer="790" w:top="1500" w:bottom="980" w:left="1720" w:right="1200"/>
        </w:sectPr>
      </w:pPr>
    </w:p>
    <w:p>
      <w:pPr>
        <w:pStyle w:val="ListParagraph"/>
        <w:numPr>
          <w:ilvl w:val="1"/>
          <w:numId w:val="23"/>
        </w:numPr>
        <w:tabs>
          <w:tab w:pos="1868" w:val="left" w:leader="none"/>
        </w:tabs>
        <w:spacing w:line="491" w:lineRule="auto" w:before="105" w:after="0"/>
        <w:ind w:left="1868" w:right="2196" w:hanging="401"/>
        <w:jc w:val="left"/>
        <w:rPr>
          <w:sz w:val="22"/>
        </w:rPr>
      </w:pPr>
      <w:r>
        <w:rPr>
          <w:w w:val="105"/>
          <w:sz w:val="22"/>
        </w:rPr>
        <w:t>Euro 500.000,00 (cinquecentomila / 00) in favore di Biochemtex,</w:t>
      </w:r>
    </w:p>
    <w:p>
      <w:pPr>
        <w:pStyle w:val="ListParagraph"/>
        <w:numPr>
          <w:ilvl w:val="1"/>
          <w:numId w:val="23"/>
        </w:numPr>
        <w:tabs>
          <w:tab w:pos="1868" w:val="left" w:leader="none"/>
        </w:tabs>
        <w:spacing w:line="491" w:lineRule="auto" w:before="1" w:after="0"/>
        <w:ind w:left="1868" w:right="2198" w:hanging="401"/>
        <w:jc w:val="left"/>
        <w:rPr>
          <w:sz w:val="22"/>
        </w:rPr>
      </w:pPr>
      <w:r>
        <w:rPr>
          <w:w w:val="105"/>
          <w:sz w:val="22"/>
        </w:rPr>
        <w:t>Euro</w:t>
      </w:r>
      <w:r>
        <w:rPr>
          <w:spacing w:val="-10"/>
          <w:w w:val="105"/>
          <w:sz w:val="22"/>
        </w:rPr>
        <w:t> </w:t>
      </w:r>
      <w:r>
        <w:rPr>
          <w:w w:val="105"/>
          <w:sz w:val="22"/>
        </w:rPr>
        <w:t>931.000,00</w:t>
      </w:r>
      <w:r>
        <w:rPr>
          <w:spacing w:val="-9"/>
          <w:w w:val="105"/>
          <w:sz w:val="22"/>
        </w:rPr>
        <w:t> </w:t>
      </w:r>
      <w:r>
        <w:rPr>
          <w:w w:val="105"/>
          <w:sz w:val="22"/>
        </w:rPr>
        <w:t>(novecentotrentunomila</w:t>
      </w:r>
      <w:r>
        <w:rPr>
          <w:spacing w:val="-11"/>
          <w:w w:val="105"/>
          <w:sz w:val="22"/>
        </w:rPr>
        <w:t> </w:t>
      </w:r>
      <w:r>
        <w:rPr>
          <w:w w:val="105"/>
          <w:sz w:val="22"/>
        </w:rPr>
        <w:t>/</w:t>
      </w:r>
      <w:r>
        <w:rPr>
          <w:spacing w:val="-9"/>
          <w:w w:val="105"/>
          <w:sz w:val="22"/>
        </w:rPr>
        <w:t> </w:t>
      </w:r>
      <w:r>
        <w:rPr>
          <w:w w:val="105"/>
          <w:sz w:val="22"/>
        </w:rPr>
        <w:t>00)</w:t>
      </w:r>
      <w:r>
        <w:rPr>
          <w:spacing w:val="-9"/>
          <w:w w:val="105"/>
          <w:sz w:val="22"/>
        </w:rPr>
        <w:t> </w:t>
      </w:r>
      <w:r>
        <w:rPr>
          <w:w w:val="105"/>
          <w:sz w:val="22"/>
        </w:rPr>
        <w:t>in</w:t>
      </w:r>
      <w:r>
        <w:rPr>
          <w:spacing w:val="-11"/>
          <w:w w:val="105"/>
          <w:sz w:val="22"/>
        </w:rPr>
        <w:t> </w:t>
      </w:r>
      <w:r>
        <w:rPr>
          <w:w w:val="105"/>
          <w:sz w:val="22"/>
        </w:rPr>
        <w:t>favore</w:t>
      </w:r>
      <w:r>
        <w:rPr>
          <w:spacing w:val="-10"/>
          <w:w w:val="105"/>
          <w:sz w:val="22"/>
        </w:rPr>
        <w:t> </w:t>
      </w:r>
      <w:r>
        <w:rPr>
          <w:w w:val="105"/>
          <w:sz w:val="22"/>
        </w:rPr>
        <w:t>di IBP;</w:t>
      </w:r>
    </w:p>
    <w:p>
      <w:pPr>
        <w:pStyle w:val="BodyText"/>
        <w:spacing w:line="494" w:lineRule="auto"/>
        <w:ind w:left="1467" w:right="2200"/>
      </w:pPr>
      <w:r>
        <w:rPr>
          <w:w w:val="105"/>
        </w:rPr>
        <w:t>è così per un importo aggregato di Euro 2.000.000,00 (due milioni / 00);</w:t>
      </w:r>
    </w:p>
    <w:p>
      <w:pPr>
        <w:pStyle w:val="ListParagraph"/>
        <w:numPr>
          <w:ilvl w:val="0"/>
          <w:numId w:val="23"/>
        </w:numPr>
        <w:tabs>
          <w:tab w:pos="934" w:val="left" w:leader="none"/>
          <w:tab w:pos="935" w:val="left" w:leader="none"/>
        </w:tabs>
        <w:spacing w:line="251" w:lineRule="exact" w:before="0" w:after="0"/>
        <w:ind w:left="934" w:right="0" w:hanging="594"/>
        <w:jc w:val="left"/>
        <w:rPr>
          <w:sz w:val="22"/>
        </w:rPr>
      </w:pPr>
      <w:r>
        <w:rPr>
          <w:w w:val="105"/>
          <w:sz w:val="22"/>
        </w:rPr>
        <w:t>erogare</w:t>
      </w:r>
      <w:r>
        <w:rPr>
          <w:spacing w:val="-8"/>
          <w:w w:val="105"/>
          <w:sz w:val="22"/>
        </w:rPr>
        <w:t> </w:t>
      </w:r>
      <w:r>
        <w:rPr>
          <w:w w:val="105"/>
          <w:sz w:val="22"/>
        </w:rPr>
        <w:t>gli</w:t>
      </w:r>
      <w:r>
        <w:rPr>
          <w:spacing w:val="-8"/>
          <w:w w:val="105"/>
          <w:sz w:val="22"/>
        </w:rPr>
        <w:t> </w:t>
      </w:r>
      <w:r>
        <w:rPr>
          <w:w w:val="105"/>
          <w:sz w:val="22"/>
        </w:rPr>
        <w:t>importi</w:t>
      </w:r>
      <w:r>
        <w:rPr>
          <w:spacing w:val="-7"/>
          <w:w w:val="105"/>
          <w:sz w:val="22"/>
        </w:rPr>
        <w:t> </w:t>
      </w:r>
      <w:r>
        <w:rPr>
          <w:w w:val="105"/>
          <w:sz w:val="22"/>
        </w:rPr>
        <w:t>di</w:t>
      </w:r>
      <w:r>
        <w:rPr>
          <w:spacing w:val="-7"/>
          <w:w w:val="105"/>
          <w:sz w:val="22"/>
        </w:rPr>
        <w:t> </w:t>
      </w:r>
      <w:r>
        <w:rPr>
          <w:w w:val="105"/>
          <w:sz w:val="22"/>
        </w:rPr>
        <w:t>cui</w:t>
      </w:r>
      <w:r>
        <w:rPr>
          <w:spacing w:val="-9"/>
          <w:w w:val="105"/>
          <w:sz w:val="22"/>
        </w:rPr>
        <w:t> </w:t>
      </w:r>
      <w:r>
        <w:rPr>
          <w:w w:val="105"/>
          <w:sz w:val="22"/>
        </w:rPr>
        <w:t>al</w:t>
      </w:r>
      <w:r>
        <w:rPr>
          <w:spacing w:val="-7"/>
          <w:w w:val="105"/>
          <w:sz w:val="22"/>
        </w:rPr>
        <w:t> </w:t>
      </w:r>
      <w:r>
        <w:rPr>
          <w:w w:val="105"/>
          <w:sz w:val="22"/>
        </w:rPr>
        <w:t>punto</w:t>
      </w:r>
      <w:r>
        <w:rPr>
          <w:spacing w:val="-7"/>
          <w:w w:val="105"/>
          <w:sz w:val="22"/>
        </w:rPr>
        <w:t> </w:t>
      </w:r>
      <w:r>
        <w:rPr>
          <w:w w:val="105"/>
          <w:sz w:val="22"/>
        </w:rPr>
        <w:t>(iii),</w:t>
      </w:r>
      <w:r>
        <w:rPr>
          <w:spacing w:val="-9"/>
          <w:w w:val="105"/>
          <w:sz w:val="22"/>
        </w:rPr>
        <w:t> </w:t>
      </w:r>
      <w:r>
        <w:rPr>
          <w:w w:val="105"/>
          <w:sz w:val="22"/>
        </w:rPr>
        <w:t>da</w:t>
      </w:r>
      <w:r>
        <w:rPr>
          <w:spacing w:val="-9"/>
          <w:w w:val="105"/>
          <w:sz w:val="22"/>
        </w:rPr>
        <w:t> </w:t>
      </w:r>
      <w:r>
        <w:rPr>
          <w:w w:val="105"/>
          <w:sz w:val="22"/>
        </w:rPr>
        <w:t>(b)</w:t>
      </w:r>
      <w:r>
        <w:rPr>
          <w:spacing w:val="-9"/>
          <w:w w:val="105"/>
          <w:sz w:val="22"/>
        </w:rPr>
        <w:t> </w:t>
      </w:r>
      <w:r>
        <w:rPr>
          <w:w w:val="105"/>
          <w:sz w:val="22"/>
        </w:rPr>
        <w:t>a</w:t>
      </w:r>
      <w:r>
        <w:rPr>
          <w:spacing w:val="-7"/>
          <w:w w:val="105"/>
          <w:sz w:val="22"/>
        </w:rPr>
        <w:t> </w:t>
      </w:r>
      <w:r>
        <w:rPr>
          <w:w w:val="105"/>
          <w:sz w:val="22"/>
        </w:rPr>
        <w:t>(d),</w:t>
      </w:r>
      <w:r>
        <w:rPr>
          <w:spacing w:val="-8"/>
          <w:w w:val="105"/>
          <w:sz w:val="22"/>
        </w:rPr>
        <w:t> </w:t>
      </w:r>
      <w:r>
        <w:rPr>
          <w:w w:val="105"/>
          <w:sz w:val="22"/>
        </w:rPr>
        <w:t>a</w:t>
      </w:r>
      <w:r>
        <w:rPr>
          <w:spacing w:val="-7"/>
          <w:w w:val="105"/>
          <w:sz w:val="22"/>
        </w:rPr>
        <w:t> </w:t>
      </w:r>
      <w:r>
        <w:rPr>
          <w:w w:val="105"/>
          <w:sz w:val="22"/>
        </w:rPr>
        <w:t>semplice</w:t>
      </w:r>
      <w:r>
        <w:rPr>
          <w:spacing w:val="-8"/>
          <w:w w:val="105"/>
          <w:sz w:val="22"/>
        </w:rPr>
        <w:t> </w:t>
      </w:r>
      <w:r>
        <w:rPr>
          <w:w w:val="105"/>
          <w:sz w:val="22"/>
        </w:rPr>
        <w:t>richiesta</w:t>
      </w:r>
    </w:p>
    <w:p>
      <w:pPr>
        <w:pStyle w:val="BodyText"/>
        <w:spacing w:before="8"/>
      </w:pPr>
    </w:p>
    <w:p>
      <w:pPr>
        <w:pStyle w:val="BodyText"/>
        <w:spacing w:line="491" w:lineRule="auto" w:before="1"/>
        <w:ind w:left="934" w:right="2195"/>
        <w:jc w:val="both"/>
      </w:pPr>
      <w:r>
        <w:rPr>
          <w:w w:val="105"/>
        </w:rPr>
        <w:t>delle Società e/o degli organi della procedura del Concordato Preventivo</w:t>
      </w:r>
      <w:r>
        <w:rPr>
          <w:spacing w:val="-11"/>
          <w:w w:val="105"/>
        </w:rPr>
        <w:t> </w:t>
      </w:r>
      <w:r>
        <w:rPr>
          <w:w w:val="105"/>
        </w:rPr>
        <w:t>di</w:t>
      </w:r>
      <w:r>
        <w:rPr>
          <w:spacing w:val="-10"/>
          <w:w w:val="105"/>
        </w:rPr>
        <w:t> </w:t>
      </w:r>
      <w:r>
        <w:rPr>
          <w:w w:val="105"/>
        </w:rPr>
        <w:t>ciascuna</w:t>
      </w:r>
      <w:r>
        <w:rPr>
          <w:spacing w:val="-10"/>
          <w:w w:val="105"/>
        </w:rPr>
        <w:t> </w:t>
      </w:r>
      <w:r>
        <w:rPr>
          <w:w w:val="105"/>
        </w:rPr>
        <w:t>delle</w:t>
      </w:r>
      <w:r>
        <w:rPr>
          <w:spacing w:val="-10"/>
          <w:w w:val="105"/>
        </w:rPr>
        <w:t> </w:t>
      </w:r>
      <w:r>
        <w:rPr>
          <w:w w:val="105"/>
        </w:rPr>
        <w:t>stesse,</w:t>
      </w:r>
      <w:r>
        <w:rPr>
          <w:spacing w:val="-11"/>
          <w:w w:val="105"/>
        </w:rPr>
        <w:t> </w:t>
      </w:r>
      <w:r>
        <w:rPr>
          <w:w w:val="105"/>
        </w:rPr>
        <w:t>nel</w:t>
      </w:r>
      <w:r>
        <w:rPr>
          <w:spacing w:val="-9"/>
          <w:w w:val="105"/>
        </w:rPr>
        <w:t> </w:t>
      </w:r>
      <w:r>
        <w:rPr>
          <w:w w:val="105"/>
        </w:rPr>
        <w:t>caso</w:t>
      </w:r>
      <w:r>
        <w:rPr>
          <w:spacing w:val="-11"/>
          <w:w w:val="105"/>
        </w:rPr>
        <w:t> </w:t>
      </w:r>
      <w:r>
        <w:rPr>
          <w:w w:val="105"/>
        </w:rPr>
        <w:t>in</w:t>
      </w:r>
      <w:r>
        <w:rPr>
          <w:spacing w:val="-10"/>
          <w:w w:val="105"/>
        </w:rPr>
        <w:t> </w:t>
      </w:r>
      <w:r>
        <w:rPr>
          <w:w w:val="105"/>
        </w:rPr>
        <w:t>cui</w:t>
      </w:r>
      <w:r>
        <w:rPr>
          <w:spacing w:val="-9"/>
          <w:w w:val="105"/>
        </w:rPr>
        <w:t> </w:t>
      </w:r>
      <w:r>
        <w:rPr>
          <w:w w:val="105"/>
        </w:rPr>
        <w:t>venga</w:t>
      </w:r>
      <w:r>
        <w:rPr>
          <w:spacing w:val="-10"/>
          <w:w w:val="105"/>
        </w:rPr>
        <w:t> </w:t>
      </w:r>
      <w:r>
        <w:rPr>
          <w:w w:val="105"/>
        </w:rPr>
        <w:t>data</w:t>
      </w:r>
      <w:r>
        <w:rPr>
          <w:spacing w:val="-9"/>
          <w:w w:val="105"/>
        </w:rPr>
        <w:t> </w:t>
      </w:r>
      <w:r>
        <w:rPr>
          <w:w w:val="105"/>
        </w:rPr>
        <w:t>evidenza allo scrivente che, alla data in cui dovrà essere eseguito il pagamento dei</w:t>
      </w:r>
      <w:r>
        <w:rPr>
          <w:spacing w:val="-17"/>
          <w:w w:val="105"/>
        </w:rPr>
        <w:t> </w:t>
      </w:r>
      <w:r>
        <w:rPr>
          <w:w w:val="105"/>
        </w:rPr>
        <w:t>creditori</w:t>
      </w:r>
      <w:r>
        <w:rPr>
          <w:spacing w:val="-19"/>
          <w:w w:val="105"/>
        </w:rPr>
        <w:t> </w:t>
      </w:r>
      <w:r>
        <w:rPr>
          <w:w w:val="105"/>
        </w:rPr>
        <w:t>chirografari</w:t>
      </w:r>
      <w:r>
        <w:rPr>
          <w:spacing w:val="-17"/>
          <w:w w:val="105"/>
        </w:rPr>
        <w:t> </w:t>
      </w:r>
      <w:r>
        <w:rPr>
          <w:w w:val="105"/>
        </w:rPr>
        <w:t>secondo</w:t>
      </w:r>
      <w:r>
        <w:rPr>
          <w:spacing w:val="-18"/>
          <w:w w:val="105"/>
        </w:rPr>
        <w:t> </w:t>
      </w:r>
      <w:r>
        <w:rPr>
          <w:w w:val="105"/>
        </w:rPr>
        <w:t>il</w:t>
      </w:r>
      <w:r>
        <w:rPr>
          <w:spacing w:val="-18"/>
          <w:w w:val="105"/>
        </w:rPr>
        <w:t> </w:t>
      </w:r>
      <w:r>
        <w:rPr>
          <w:w w:val="105"/>
        </w:rPr>
        <w:t>rispettivo</w:t>
      </w:r>
      <w:r>
        <w:rPr>
          <w:spacing w:val="-17"/>
          <w:w w:val="105"/>
        </w:rPr>
        <w:t> </w:t>
      </w:r>
      <w:r>
        <w:rPr>
          <w:w w:val="105"/>
        </w:rPr>
        <w:t>Piano</w:t>
      </w:r>
      <w:r>
        <w:rPr>
          <w:spacing w:val="-18"/>
          <w:w w:val="105"/>
        </w:rPr>
        <w:t> </w:t>
      </w:r>
      <w:r>
        <w:rPr>
          <w:w w:val="105"/>
        </w:rPr>
        <w:t>di</w:t>
      </w:r>
      <w:r>
        <w:rPr>
          <w:spacing w:val="-17"/>
          <w:w w:val="105"/>
        </w:rPr>
        <w:t> </w:t>
      </w:r>
      <w:r>
        <w:rPr>
          <w:w w:val="105"/>
        </w:rPr>
        <w:t>Ripagamento,</w:t>
      </w:r>
      <w:r>
        <w:rPr>
          <w:spacing w:val="-17"/>
          <w:w w:val="105"/>
        </w:rPr>
        <w:t> </w:t>
      </w:r>
      <w:r>
        <w:rPr>
          <w:w w:val="105"/>
        </w:rPr>
        <w:t>la percentuale minima legale del 20 % (ventipercento) non possa essere pagata ai medesimi, nonostante che, alla stessa data, siano state liberate,</w:t>
      </w:r>
      <w:r>
        <w:rPr>
          <w:spacing w:val="-3"/>
          <w:w w:val="105"/>
        </w:rPr>
        <w:t> </w:t>
      </w:r>
      <w:r>
        <w:rPr>
          <w:w w:val="105"/>
        </w:rPr>
        <w:t>in</w:t>
      </w:r>
      <w:r>
        <w:rPr>
          <w:spacing w:val="-5"/>
          <w:w w:val="105"/>
        </w:rPr>
        <w:t> </w:t>
      </w:r>
      <w:r>
        <w:rPr>
          <w:w w:val="105"/>
        </w:rPr>
        <w:t>tutto</w:t>
      </w:r>
      <w:r>
        <w:rPr>
          <w:spacing w:val="-4"/>
          <w:w w:val="105"/>
        </w:rPr>
        <w:t> </w:t>
      </w:r>
      <w:r>
        <w:rPr>
          <w:w w:val="105"/>
        </w:rPr>
        <w:t>od</w:t>
      </w:r>
      <w:r>
        <w:rPr>
          <w:spacing w:val="-4"/>
          <w:w w:val="105"/>
        </w:rPr>
        <w:t> </w:t>
      </w:r>
      <w:r>
        <w:rPr>
          <w:w w:val="105"/>
        </w:rPr>
        <w:t>in</w:t>
      </w:r>
      <w:r>
        <w:rPr>
          <w:spacing w:val="-5"/>
          <w:w w:val="105"/>
        </w:rPr>
        <w:t> </w:t>
      </w:r>
      <w:r>
        <w:rPr>
          <w:w w:val="105"/>
        </w:rPr>
        <w:t>parte</w:t>
      </w:r>
      <w:r>
        <w:rPr>
          <w:spacing w:val="-4"/>
          <w:w w:val="105"/>
        </w:rPr>
        <w:t> </w:t>
      </w:r>
      <w:r>
        <w:rPr>
          <w:w w:val="105"/>
        </w:rPr>
        <w:t>e</w:t>
      </w:r>
      <w:r>
        <w:rPr>
          <w:spacing w:val="-4"/>
          <w:w w:val="105"/>
        </w:rPr>
        <w:t> </w:t>
      </w:r>
      <w:r>
        <w:rPr>
          <w:w w:val="105"/>
        </w:rPr>
        <w:t>per</w:t>
      </w:r>
      <w:r>
        <w:rPr>
          <w:spacing w:val="-4"/>
          <w:w w:val="105"/>
        </w:rPr>
        <w:t> </w:t>
      </w:r>
      <w:r>
        <w:rPr>
          <w:w w:val="105"/>
        </w:rPr>
        <w:t>quanto</w:t>
      </w:r>
      <w:r>
        <w:rPr>
          <w:spacing w:val="-5"/>
          <w:w w:val="105"/>
        </w:rPr>
        <w:t> </w:t>
      </w:r>
      <w:r>
        <w:rPr>
          <w:w w:val="105"/>
        </w:rPr>
        <w:t>possibile,</w:t>
      </w:r>
      <w:r>
        <w:rPr>
          <w:spacing w:val="-3"/>
          <w:w w:val="105"/>
        </w:rPr>
        <w:t> </w:t>
      </w:r>
      <w:r>
        <w:rPr>
          <w:w w:val="105"/>
        </w:rPr>
        <w:t>le</w:t>
      </w:r>
      <w:r>
        <w:rPr>
          <w:spacing w:val="-4"/>
          <w:w w:val="105"/>
        </w:rPr>
        <w:t> </w:t>
      </w:r>
      <w:r>
        <w:rPr>
          <w:w w:val="105"/>
        </w:rPr>
        <w:t>riserve</w:t>
      </w:r>
      <w:r>
        <w:rPr>
          <w:spacing w:val="-3"/>
          <w:w w:val="105"/>
        </w:rPr>
        <w:t> </w:t>
      </w:r>
      <w:r>
        <w:rPr>
          <w:w w:val="105"/>
        </w:rPr>
        <w:t>stanziate in ciascun piano e/o siano stati registrati incassi superiori rispetto a quelli</w:t>
      </w:r>
      <w:r>
        <w:rPr>
          <w:spacing w:val="-20"/>
          <w:w w:val="105"/>
        </w:rPr>
        <w:t> </w:t>
      </w:r>
      <w:r>
        <w:rPr>
          <w:w w:val="105"/>
        </w:rPr>
        <w:t>previsti</w:t>
      </w:r>
      <w:r>
        <w:rPr>
          <w:spacing w:val="-21"/>
          <w:w w:val="105"/>
        </w:rPr>
        <w:t> </w:t>
      </w:r>
      <w:r>
        <w:rPr>
          <w:w w:val="105"/>
        </w:rPr>
        <w:t>in</w:t>
      </w:r>
      <w:r>
        <w:rPr>
          <w:spacing w:val="-20"/>
          <w:w w:val="105"/>
        </w:rPr>
        <w:t> </w:t>
      </w:r>
      <w:r>
        <w:rPr>
          <w:w w:val="105"/>
        </w:rPr>
        <w:t>ciascun</w:t>
      </w:r>
      <w:r>
        <w:rPr>
          <w:spacing w:val="-20"/>
          <w:w w:val="105"/>
        </w:rPr>
        <w:t> </w:t>
      </w:r>
      <w:r>
        <w:rPr>
          <w:w w:val="105"/>
        </w:rPr>
        <w:t>piano.</w:t>
      </w:r>
    </w:p>
    <w:p>
      <w:pPr>
        <w:pStyle w:val="BodyText"/>
        <w:spacing w:line="491" w:lineRule="auto"/>
        <w:ind w:left="400" w:right="2200"/>
      </w:pPr>
      <w:r>
        <w:rPr>
          <w:w w:val="105"/>
        </w:rPr>
        <w:t>Al fine di dare evidenza della copertura degli impegni di cui alla presente lettera di impegno, il Dott. Marco Ghisolfi:</w:t>
      </w:r>
    </w:p>
    <w:p>
      <w:pPr>
        <w:pStyle w:val="ListParagraph"/>
        <w:numPr>
          <w:ilvl w:val="1"/>
          <w:numId w:val="23"/>
        </w:numPr>
        <w:tabs>
          <w:tab w:pos="1468" w:val="left" w:leader="none"/>
        </w:tabs>
        <w:spacing w:line="254" w:lineRule="exact" w:before="0" w:after="0"/>
        <w:ind w:left="1467" w:right="0" w:hanging="533"/>
        <w:jc w:val="both"/>
        <w:rPr>
          <w:sz w:val="24"/>
        </w:rPr>
      </w:pPr>
      <w:r>
        <w:rPr>
          <w:w w:val="105"/>
          <w:sz w:val="22"/>
        </w:rPr>
        <w:t>ha</w:t>
      </w:r>
      <w:r>
        <w:rPr>
          <w:spacing w:val="-17"/>
          <w:w w:val="105"/>
          <w:sz w:val="22"/>
        </w:rPr>
        <w:t> </w:t>
      </w:r>
      <w:r>
        <w:rPr>
          <w:w w:val="105"/>
          <w:sz w:val="22"/>
        </w:rPr>
        <w:t>allegato</w:t>
      </w:r>
      <w:r>
        <w:rPr>
          <w:spacing w:val="-16"/>
          <w:w w:val="105"/>
          <w:sz w:val="22"/>
        </w:rPr>
        <w:t> </w:t>
      </w:r>
      <w:r>
        <w:rPr>
          <w:w w:val="105"/>
          <w:sz w:val="22"/>
        </w:rPr>
        <w:t>la</w:t>
      </w:r>
      <w:r>
        <w:rPr>
          <w:spacing w:val="-17"/>
          <w:w w:val="105"/>
          <w:sz w:val="22"/>
        </w:rPr>
        <w:t> </w:t>
      </w:r>
      <w:r>
        <w:rPr>
          <w:w w:val="105"/>
          <w:sz w:val="22"/>
        </w:rPr>
        <w:t>dichiarazione</w:t>
      </w:r>
      <w:r>
        <w:rPr>
          <w:spacing w:val="-17"/>
          <w:w w:val="105"/>
          <w:sz w:val="22"/>
        </w:rPr>
        <w:t> </w:t>
      </w:r>
      <w:r>
        <w:rPr>
          <w:w w:val="105"/>
          <w:sz w:val="22"/>
        </w:rPr>
        <w:t>di</w:t>
      </w:r>
      <w:r>
        <w:rPr>
          <w:spacing w:val="-17"/>
          <w:w w:val="105"/>
          <w:sz w:val="22"/>
        </w:rPr>
        <w:t> </w:t>
      </w:r>
      <w:r>
        <w:rPr>
          <w:w w:val="105"/>
          <w:sz w:val="22"/>
        </w:rPr>
        <w:t>referenza</w:t>
      </w:r>
      <w:r>
        <w:rPr>
          <w:spacing w:val="-17"/>
          <w:w w:val="105"/>
          <w:sz w:val="22"/>
        </w:rPr>
        <w:t> </w:t>
      </w:r>
      <w:r>
        <w:rPr>
          <w:w w:val="105"/>
          <w:sz w:val="22"/>
        </w:rPr>
        <w:t>bancaria</w:t>
      </w:r>
      <w:r>
        <w:rPr>
          <w:spacing w:val="-16"/>
          <w:w w:val="105"/>
          <w:sz w:val="22"/>
        </w:rPr>
        <w:t> </w:t>
      </w:r>
      <w:r>
        <w:rPr>
          <w:w w:val="105"/>
          <w:sz w:val="22"/>
        </w:rPr>
        <w:t>resa</w:t>
      </w:r>
      <w:r>
        <w:rPr>
          <w:spacing w:val="-16"/>
          <w:w w:val="105"/>
          <w:sz w:val="22"/>
        </w:rPr>
        <w:t> </w:t>
      </w:r>
      <w:r>
        <w:rPr>
          <w:w w:val="105"/>
          <w:sz w:val="22"/>
        </w:rPr>
        <w:t>dalla</w:t>
      </w:r>
      <w:r>
        <w:rPr>
          <w:spacing w:val="-17"/>
          <w:w w:val="105"/>
          <w:sz w:val="22"/>
        </w:rPr>
        <w:t> </w:t>
      </w:r>
      <w:r>
        <w:rPr>
          <w:w w:val="105"/>
          <w:sz w:val="22"/>
        </w:rPr>
        <w:t>banca</w:t>
      </w:r>
    </w:p>
    <w:p>
      <w:pPr>
        <w:pStyle w:val="BodyText"/>
        <w:spacing w:before="7"/>
      </w:pPr>
    </w:p>
    <w:p>
      <w:pPr>
        <w:spacing w:before="0"/>
        <w:ind w:left="1467" w:right="0" w:firstLine="0"/>
        <w:jc w:val="left"/>
        <w:rPr>
          <w:sz w:val="22"/>
        </w:rPr>
      </w:pPr>
      <w:r>
        <w:rPr>
          <w:w w:val="105"/>
          <w:sz w:val="22"/>
        </w:rPr>
        <w:t>Credito Valtellinese, filiale di Tortona (AL) </w:t>
      </w:r>
      <w:r>
        <w:rPr>
          <w:i/>
          <w:w w:val="105"/>
          <w:sz w:val="22"/>
        </w:rPr>
        <w:t>sub </w:t>
      </w:r>
      <w:r>
        <w:rPr>
          <w:b/>
          <w:w w:val="105"/>
          <w:sz w:val="22"/>
          <w:u w:val="single"/>
        </w:rPr>
        <w:t>doc. 67/B</w:t>
      </w:r>
      <w:r>
        <w:rPr>
          <w:w w:val="105"/>
          <w:sz w:val="22"/>
        </w:rPr>
        <w:t>,</w:t>
      </w:r>
    </w:p>
    <w:p>
      <w:pPr>
        <w:pStyle w:val="BodyText"/>
        <w:spacing w:before="6"/>
        <w:rPr>
          <w:sz w:val="21"/>
        </w:rPr>
      </w:pPr>
    </w:p>
    <w:p>
      <w:pPr>
        <w:pStyle w:val="ListParagraph"/>
        <w:numPr>
          <w:ilvl w:val="1"/>
          <w:numId w:val="23"/>
        </w:numPr>
        <w:tabs>
          <w:tab w:pos="1467" w:val="left" w:leader="none"/>
          <w:tab w:pos="1468" w:val="left" w:leader="none"/>
        </w:tabs>
        <w:spacing w:line="468" w:lineRule="auto" w:before="0" w:after="0"/>
        <w:ind w:left="1467" w:right="2196" w:hanging="533"/>
        <w:jc w:val="left"/>
        <w:rPr>
          <w:sz w:val="24"/>
        </w:rPr>
      </w:pPr>
      <w:r>
        <w:rPr>
          <w:w w:val="105"/>
          <w:sz w:val="22"/>
        </w:rPr>
        <w:t>si</w:t>
      </w:r>
      <w:r>
        <w:rPr>
          <w:spacing w:val="-12"/>
          <w:w w:val="105"/>
          <w:sz w:val="22"/>
        </w:rPr>
        <w:t> </w:t>
      </w:r>
      <w:r>
        <w:rPr>
          <w:w w:val="105"/>
          <w:sz w:val="22"/>
        </w:rPr>
        <w:t>è</w:t>
      </w:r>
      <w:r>
        <w:rPr>
          <w:spacing w:val="-12"/>
          <w:w w:val="105"/>
          <w:sz w:val="22"/>
        </w:rPr>
        <w:t> </w:t>
      </w:r>
      <w:r>
        <w:rPr>
          <w:w w:val="105"/>
          <w:sz w:val="22"/>
        </w:rPr>
        <w:t>impegnato</w:t>
      </w:r>
      <w:r>
        <w:rPr>
          <w:spacing w:val="-12"/>
          <w:w w:val="105"/>
          <w:sz w:val="22"/>
        </w:rPr>
        <w:t> </w:t>
      </w:r>
      <w:r>
        <w:rPr>
          <w:w w:val="105"/>
          <w:sz w:val="22"/>
        </w:rPr>
        <w:t>a</w:t>
      </w:r>
      <w:r>
        <w:rPr>
          <w:spacing w:val="-12"/>
          <w:w w:val="105"/>
          <w:sz w:val="22"/>
        </w:rPr>
        <w:t> </w:t>
      </w:r>
      <w:r>
        <w:rPr>
          <w:w w:val="105"/>
          <w:sz w:val="22"/>
        </w:rPr>
        <w:t>costituire,</w:t>
      </w:r>
      <w:r>
        <w:rPr>
          <w:spacing w:val="-12"/>
          <w:w w:val="105"/>
          <w:sz w:val="22"/>
        </w:rPr>
        <w:t> </w:t>
      </w:r>
      <w:r>
        <w:rPr>
          <w:w w:val="105"/>
          <w:sz w:val="22"/>
        </w:rPr>
        <w:t>entro</w:t>
      </w:r>
      <w:r>
        <w:rPr>
          <w:spacing w:val="-13"/>
          <w:w w:val="105"/>
          <w:sz w:val="22"/>
        </w:rPr>
        <w:t> </w:t>
      </w:r>
      <w:r>
        <w:rPr>
          <w:w w:val="105"/>
          <w:sz w:val="22"/>
        </w:rPr>
        <w:t>30</w:t>
      </w:r>
      <w:r>
        <w:rPr>
          <w:spacing w:val="-13"/>
          <w:w w:val="105"/>
          <w:sz w:val="22"/>
        </w:rPr>
        <w:t> </w:t>
      </w:r>
      <w:r>
        <w:rPr>
          <w:w w:val="105"/>
          <w:sz w:val="22"/>
        </w:rPr>
        <w:t>(trenta)</w:t>
      </w:r>
      <w:r>
        <w:rPr>
          <w:spacing w:val="-11"/>
          <w:w w:val="105"/>
          <w:sz w:val="22"/>
        </w:rPr>
        <w:t> </w:t>
      </w:r>
      <w:r>
        <w:rPr>
          <w:w w:val="105"/>
          <w:sz w:val="22"/>
        </w:rPr>
        <w:t>giorni,</w:t>
      </w:r>
      <w:r>
        <w:rPr>
          <w:spacing w:val="-13"/>
          <w:w w:val="105"/>
          <w:sz w:val="22"/>
        </w:rPr>
        <w:t> </w:t>
      </w:r>
      <w:r>
        <w:rPr>
          <w:w w:val="105"/>
          <w:sz w:val="22"/>
        </w:rPr>
        <w:t>un</w:t>
      </w:r>
      <w:r>
        <w:rPr>
          <w:spacing w:val="-12"/>
          <w:w w:val="105"/>
          <w:sz w:val="22"/>
        </w:rPr>
        <w:t> </w:t>
      </w:r>
      <w:r>
        <w:rPr>
          <w:w w:val="105"/>
          <w:sz w:val="22"/>
        </w:rPr>
        <w:t>vincolo</w:t>
      </w:r>
      <w:r>
        <w:rPr>
          <w:spacing w:val="-13"/>
          <w:w w:val="105"/>
          <w:sz w:val="22"/>
        </w:rPr>
        <w:t> </w:t>
      </w:r>
      <w:r>
        <w:rPr>
          <w:w w:val="105"/>
          <w:sz w:val="22"/>
        </w:rPr>
        <w:t>di destinazione</w:t>
      </w:r>
      <w:r>
        <w:rPr>
          <w:spacing w:val="-7"/>
          <w:w w:val="105"/>
          <w:sz w:val="22"/>
        </w:rPr>
        <w:t> </w:t>
      </w:r>
      <w:r>
        <w:rPr>
          <w:w w:val="105"/>
          <w:sz w:val="22"/>
        </w:rPr>
        <w:t>e</w:t>
      </w:r>
      <w:r>
        <w:rPr>
          <w:spacing w:val="-8"/>
          <w:w w:val="105"/>
          <w:sz w:val="22"/>
        </w:rPr>
        <w:t> </w:t>
      </w:r>
      <w:r>
        <w:rPr>
          <w:w w:val="105"/>
          <w:sz w:val="22"/>
        </w:rPr>
        <w:t>di</w:t>
      </w:r>
      <w:r>
        <w:rPr>
          <w:spacing w:val="-9"/>
          <w:w w:val="105"/>
          <w:sz w:val="22"/>
        </w:rPr>
        <w:t> </w:t>
      </w:r>
      <w:r>
        <w:rPr>
          <w:w w:val="105"/>
          <w:sz w:val="22"/>
        </w:rPr>
        <w:t>garanzia</w:t>
      </w:r>
      <w:r>
        <w:rPr>
          <w:spacing w:val="-10"/>
          <w:w w:val="105"/>
          <w:sz w:val="22"/>
        </w:rPr>
        <w:t> </w:t>
      </w:r>
      <w:r>
        <w:rPr>
          <w:w w:val="105"/>
          <w:sz w:val="22"/>
        </w:rPr>
        <w:t>per</w:t>
      </w:r>
      <w:r>
        <w:rPr>
          <w:spacing w:val="-8"/>
          <w:w w:val="105"/>
          <w:sz w:val="22"/>
        </w:rPr>
        <w:t> </w:t>
      </w:r>
      <w:r>
        <w:rPr>
          <w:w w:val="105"/>
          <w:sz w:val="22"/>
        </w:rPr>
        <w:t>un</w:t>
      </w:r>
      <w:r>
        <w:rPr>
          <w:spacing w:val="-8"/>
          <w:w w:val="105"/>
          <w:sz w:val="22"/>
        </w:rPr>
        <w:t> </w:t>
      </w:r>
      <w:r>
        <w:rPr>
          <w:w w:val="105"/>
          <w:sz w:val="22"/>
        </w:rPr>
        <w:t>importo</w:t>
      </w:r>
      <w:r>
        <w:rPr>
          <w:spacing w:val="-8"/>
          <w:w w:val="105"/>
          <w:sz w:val="22"/>
        </w:rPr>
        <w:t> </w:t>
      </w:r>
      <w:r>
        <w:rPr>
          <w:w w:val="105"/>
          <w:sz w:val="22"/>
        </w:rPr>
        <w:t>massimo</w:t>
      </w:r>
      <w:r>
        <w:rPr>
          <w:spacing w:val="-8"/>
          <w:w w:val="105"/>
          <w:sz w:val="22"/>
        </w:rPr>
        <w:t> </w:t>
      </w:r>
      <w:r>
        <w:rPr>
          <w:w w:val="105"/>
          <w:sz w:val="22"/>
        </w:rPr>
        <w:t>aggregato</w:t>
      </w:r>
      <w:r>
        <w:rPr>
          <w:spacing w:val="-7"/>
          <w:w w:val="105"/>
          <w:sz w:val="22"/>
        </w:rPr>
        <w:t> </w:t>
      </w:r>
      <w:r>
        <w:rPr>
          <w:w w:val="105"/>
          <w:sz w:val="22"/>
        </w:rPr>
        <w:t>di</w:t>
      </w:r>
    </w:p>
    <w:p>
      <w:pPr>
        <w:pStyle w:val="BodyText"/>
        <w:spacing w:line="494" w:lineRule="auto" w:before="25"/>
        <w:ind w:left="1467" w:right="2116"/>
      </w:pPr>
      <w:r>
        <w:rPr>
          <w:w w:val="105"/>
        </w:rPr>
        <w:t>€ 1.650.000,00 (un milione seicento cinquanta mila / 00), restando inteso questo vincolo dovrà riprodurre le condizioni di</w:t>
      </w:r>
    </w:p>
    <w:p>
      <w:pPr>
        <w:spacing w:after="0" w:line="494" w:lineRule="auto"/>
        <w:sectPr>
          <w:pgSz w:w="12240" w:h="15840"/>
          <w:pgMar w:header="0" w:footer="790" w:top="1500" w:bottom="980" w:left="1720" w:right="1200"/>
        </w:sectPr>
      </w:pPr>
    </w:p>
    <w:p>
      <w:pPr>
        <w:pStyle w:val="BodyText"/>
        <w:spacing w:line="491" w:lineRule="auto" w:before="105"/>
        <w:ind w:left="1467" w:right="2196"/>
        <w:jc w:val="both"/>
      </w:pPr>
      <w:r>
        <w:rPr>
          <w:w w:val="105"/>
        </w:rPr>
        <w:t>escussione e/o erogazione oggetto della lettera di impegno e avrà ad oggetto un importo finale che risulti ridotto in misura corrispondente agli importi che dovessero essere stati nel frattempo già erogati in favore di una o più delle Società.</w:t>
      </w:r>
    </w:p>
    <w:p>
      <w:pPr>
        <w:pStyle w:val="BodyText"/>
        <w:spacing w:line="491" w:lineRule="auto"/>
        <w:ind w:left="400" w:right="2196"/>
        <w:jc w:val="both"/>
      </w:pPr>
      <w:r>
        <w:rPr>
          <w:w w:val="105"/>
        </w:rPr>
        <w:t>L’efficacia degli impegni di cui ai punti da (i) a (iv), è sospensivamente condizionata all’autorizzazione alla contrazione di finanza ai sensi dell’art. 182-quinquies, comma 1, l. fall., come chiesta da Beta nel proprio Concordato Preventivo (cfr. Finanziamento Novozymes) ed all’emissione dei decreti di omologazione, anche provvisoriamente esecutivi, del Concordato Preventivo di tutte le Società.</w:t>
      </w:r>
    </w:p>
    <w:p>
      <w:pPr>
        <w:pStyle w:val="BodyText"/>
        <w:spacing w:line="491" w:lineRule="auto" w:before="2"/>
        <w:ind w:left="400" w:right="2193"/>
        <w:jc w:val="both"/>
      </w:pPr>
      <w:r>
        <w:rPr>
          <w:w w:val="105"/>
        </w:rPr>
        <w:t>Nonostante</w:t>
      </w:r>
      <w:r>
        <w:rPr>
          <w:spacing w:val="-9"/>
          <w:w w:val="105"/>
        </w:rPr>
        <w:t> </w:t>
      </w:r>
      <w:r>
        <w:rPr>
          <w:w w:val="105"/>
        </w:rPr>
        <w:t>quanto</w:t>
      </w:r>
      <w:r>
        <w:rPr>
          <w:spacing w:val="-11"/>
          <w:w w:val="105"/>
        </w:rPr>
        <w:t> </w:t>
      </w:r>
      <w:r>
        <w:rPr>
          <w:w w:val="105"/>
        </w:rPr>
        <w:t>precede</w:t>
      </w:r>
      <w:r>
        <w:rPr>
          <w:spacing w:val="-10"/>
          <w:w w:val="105"/>
        </w:rPr>
        <w:t> </w:t>
      </w:r>
      <w:r>
        <w:rPr>
          <w:w w:val="105"/>
        </w:rPr>
        <w:t>e</w:t>
      </w:r>
      <w:r>
        <w:rPr>
          <w:spacing w:val="-9"/>
          <w:w w:val="105"/>
        </w:rPr>
        <w:t> </w:t>
      </w:r>
      <w:r>
        <w:rPr>
          <w:w w:val="105"/>
        </w:rPr>
        <w:t>qualora</w:t>
      </w:r>
      <w:r>
        <w:rPr>
          <w:spacing w:val="-10"/>
          <w:w w:val="105"/>
        </w:rPr>
        <w:t> </w:t>
      </w:r>
      <w:r>
        <w:rPr>
          <w:w w:val="105"/>
        </w:rPr>
        <w:t>si</w:t>
      </w:r>
      <w:r>
        <w:rPr>
          <w:spacing w:val="-11"/>
          <w:w w:val="105"/>
        </w:rPr>
        <w:t> </w:t>
      </w:r>
      <w:r>
        <w:rPr>
          <w:w w:val="105"/>
        </w:rPr>
        <w:t>dovesse</w:t>
      </w:r>
      <w:r>
        <w:rPr>
          <w:spacing w:val="-10"/>
          <w:w w:val="105"/>
        </w:rPr>
        <w:t> </w:t>
      </w:r>
      <w:r>
        <w:rPr>
          <w:w w:val="105"/>
        </w:rPr>
        <w:t>registrare</w:t>
      </w:r>
      <w:r>
        <w:rPr>
          <w:spacing w:val="-10"/>
          <w:w w:val="105"/>
        </w:rPr>
        <w:t> </w:t>
      </w:r>
      <w:r>
        <w:rPr>
          <w:w w:val="105"/>
        </w:rPr>
        <w:t>uno</w:t>
      </w:r>
      <w:r>
        <w:rPr>
          <w:spacing w:val="-10"/>
          <w:w w:val="105"/>
        </w:rPr>
        <w:t> </w:t>
      </w:r>
      <w:r>
        <w:rPr>
          <w:w w:val="105"/>
        </w:rPr>
        <w:t>scostamento sul Piano di Cassa di Beta e sul Piano di Cassa di Biochemtex (sulla base delle</w:t>
      </w:r>
      <w:r>
        <w:rPr>
          <w:spacing w:val="-10"/>
          <w:w w:val="105"/>
        </w:rPr>
        <w:t> </w:t>
      </w:r>
      <w:r>
        <w:rPr>
          <w:w w:val="105"/>
        </w:rPr>
        <w:t>analisi</w:t>
      </w:r>
      <w:r>
        <w:rPr>
          <w:spacing w:val="-11"/>
          <w:w w:val="105"/>
        </w:rPr>
        <w:t> </w:t>
      </w:r>
      <w:r>
        <w:rPr>
          <w:w w:val="105"/>
        </w:rPr>
        <w:t>di</w:t>
      </w:r>
      <w:r>
        <w:rPr>
          <w:spacing w:val="-10"/>
          <w:w w:val="105"/>
        </w:rPr>
        <w:t> </w:t>
      </w:r>
      <w:r>
        <w:rPr>
          <w:w w:val="105"/>
        </w:rPr>
        <w:t>sensitività</w:t>
      </w:r>
      <w:r>
        <w:rPr>
          <w:spacing w:val="-10"/>
          <w:w w:val="105"/>
        </w:rPr>
        <w:t> </w:t>
      </w:r>
      <w:r>
        <w:rPr>
          <w:w w:val="105"/>
        </w:rPr>
        <w:t>operate</w:t>
      </w:r>
      <w:r>
        <w:rPr>
          <w:spacing w:val="-10"/>
          <w:w w:val="105"/>
        </w:rPr>
        <w:t> </w:t>
      </w:r>
      <w:r>
        <w:rPr>
          <w:w w:val="105"/>
        </w:rPr>
        <w:t>dagli</w:t>
      </w:r>
      <w:r>
        <w:rPr>
          <w:spacing w:val="-10"/>
          <w:w w:val="105"/>
        </w:rPr>
        <w:t> </w:t>
      </w:r>
      <w:r>
        <w:rPr>
          <w:w w:val="105"/>
        </w:rPr>
        <w:t>attestatori</w:t>
      </w:r>
      <w:r>
        <w:rPr>
          <w:spacing w:val="-10"/>
          <w:w w:val="105"/>
        </w:rPr>
        <w:t> </w:t>
      </w:r>
      <w:r>
        <w:rPr>
          <w:w w:val="105"/>
        </w:rPr>
        <w:t>e</w:t>
      </w:r>
      <w:r>
        <w:rPr>
          <w:spacing w:val="-10"/>
          <w:w w:val="105"/>
        </w:rPr>
        <w:t> </w:t>
      </w:r>
      <w:r>
        <w:rPr>
          <w:w w:val="105"/>
        </w:rPr>
        <w:t>che,</w:t>
      </w:r>
      <w:r>
        <w:rPr>
          <w:spacing w:val="-11"/>
          <w:w w:val="105"/>
        </w:rPr>
        <w:t> </w:t>
      </w:r>
      <w:r>
        <w:rPr>
          <w:w w:val="105"/>
        </w:rPr>
        <w:t>per</w:t>
      </w:r>
      <w:r>
        <w:rPr>
          <w:spacing w:val="-10"/>
          <w:w w:val="105"/>
        </w:rPr>
        <w:t> </w:t>
      </w:r>
      <w:r>
        <w:rPr>
          <w:w w:val="105"/>
        </w:rPr>
        <w:t>quanto</w:t>
      </w:r>
      <w:r>
        <w:rPr>
          <w:spacing w:val="-10"/>
          <w:w w:val="105"/>
        </w:rPr>
        <w:t> </w:t>
      </w:r>
      <w:r>
        <w:rPr>
          <w:w w:val="105"/>
        </w:rPr>
        <w:t>concerne Beta, contemplano l’avvenuta autorizzazione alla contrazione del Finanziamento Novozymes) prima della data di emissione dei decreti di omologazione,</w:t>
      </w:r>
      <w:r>
        <w:rPr>
          <w:spacing w:val="-30"/>
          <w:w w:val="105"/>
        </w:rPr>
        <w:t> </w:t>
      </w:r>
      <w:r>
        <w:rPr>
          <w:w w:val="105"/>
        </w:rPr>
        <w:t>anche</w:t>
      </w:r>
      <w:r>
        <w:rPr>
          <w:spacing w:val="-29"/>
          <w:w w:val="105"/>
        </w:rPr>
        <w:t> </w:t>
      </w:r>
      <w:r>
        <w:rPr>
          <w:w w:val="105"/>
        </w:rPr>
        <w:t>provvisoriamente</w:t>
      </w:r>
      <w:r>
        <w:rPr>
          <w:spacing w:val="-29"/>
          <w:w w:val="105"/>
        </w:rPr>
        <w:t> </w:t>
      </w:r>
      <w:r>
        <w:rPr>
          <w:w w:val="105"/>
        </w:rPr>
        <w:t>esecutivi,</w:t>
      </w:r>
      <w:r>
        <w:rPr>
          <w:spacing w:val="-30"/>
          <w:w w:val="105"/>
        </w:rPr>
        <w:t> </w:t>
      </w:r>
      <w:r>
        <w:rPr>
          <w:w w:val="105"/>
        </w:rPr>
        <w:t>del</w:t>
      </w:r>
      <w:r>
        <w:rPr>
          <w:spacing w:val="-30"/>
          <w:w w:val="105"/>
        </w:rPr>
        <w:t> </w:t>
      </w:r>
      <w:r>
        <w:rPr>
          <w:w w:val="105"/>
        </w:rPr>
        <w:t>Concordato</w:t>
      </w:r>
      <w:r>
        <w:rPr>
          <w:spacing w:val="-29"/>
          <w:w w:val="105"/>
        </w:rPr>
        <w:t> </w:t>
      </w:r>
      <w:r>
        <w:rPr>
          <w:w w:val="105"/>
        </w:rPr>
        <w:t>Preventivo di</w:t>
      </w:r>
      <w:r>
        <w:rPr>
          <w:spacing w:val="-12"/>
          <w:w w:val="105"/>
        </w:rPr>
        <w:t> </w:t>
      </w:r>
      <w:r>
        <w:rPr>
          <w:w w:val="105"/>
        </w:rPr>
        <w:t>tutte</w:t>
      </w:r>
      <w:r>
        <w:rPr>
          <w:spacing w:val="-11"/>
          <w:w w:val="105"/>
        </w:rPr>
        <w:t> </w:t>
      </w:r>
      <w:r>
        <w:rPr>
          <w:w w:val="105"/>
        </w:rPr>
        <w:t>le</w:t>
      </w:r>
      <w:r>
        <w:rPr>
          <w:spacing w:val="-12"/>
          <w:w w:val="105"/>
        </w:rPr>
        <w:t> </w:t>
      </w:r>
      <w:r>
        <w:rPr>
          <w:w w:val="105"/>
        </w:rPr>
        <w:t>Società,</w:t>
      </w:r>
      <w:r>
        <w:rPr>
          <w:spacing w:val="-11"/>
          <w:w w:val="105"/>
        </w:rPr>
        <w:t> </w:t>
      </w:r>
      <w:r>
        <w:rPr>
          <w:w w:val="105"/>
        </w:rPr>
        <w:t>il</w:t>
      </w:r>
      <w:r>
        <w:rPr>
          <w:spacing w:val="-11"/>
          <w:w w:val="105"/>
        </w:rPr>
        <w:t> </w:t>
      </w:r>
      <w:r>
        <w:rPr>
          <w:w w:val="105"/>
        </w:rPr>
        <w:t>sottoscritto</w:t>
      </w:r>
      <w:r>
        <w:rPr>
          <w:spacing w:val="-12"/>
          <w:w w:val="105"/>
        </w:rPr>
        <w:t> </w:t>
      </w:r>
      <w:r>
        <w:rPr>
          <w:w w:val="105"/>
        </w:rPr>
        <w:t>Dott.</w:t>
      </w:r>
      <w:r>
        <w:rPr>
          <w:spacing w:val="-11"/>
          <w:w w:val="105"/>
        </w:rPr>
        <w:t> </w:t>
      </w:r>
      <w:r>
        <w:rPr>
          <w:w w:val="105"/>
        </w:rPr>
        <w:t>Marco</w:t>
      </w:r>
      <w:r>
        <w:rPr>
          <w:spacing w:val="-11"/>
          <w:w w:val="105"/>
        </w:rPr>
        <w:t> </w:t>
      </w:r>
      <w:r>
        <w:rPr>
          <w:w w:val="105"/>
        </w:rPr>
        <w:t>Ghisolfi</w:t>
      </w:r>
      <w:r>
        <w:rPr>
          <w:spacing w:val="-11"/>
          <w:w w:val="105"/>
        </w:rPr>
        <w:t> </w:t>
      </w:r>
      <w:r>
        <w:rPr>
          <w:w w:val="105"/>
        </w:rPr>
        <w:t>si</w:t>
      </w:r>
      <w:r>
        <w:rPr>
          <w:spacing w:val="-11"/>
          <w:w w:val="105"/>
        </w:rPr>
        <w:t> </w:t>
      </w:r>
      <w:r>
        <w:rPr>
          <w:w w:val="105"/>
        </w:rPr>
        <w:t>impegna</w:t>
      </w:r>
      <w:r>
        <w:rPr>
          <w:spacing w:val="-11"/>
          <w:w w:val="105"/>
        </w:rPr>
        <w:t> </w:t>
      </w:r>
      <w:r>
        <w:rPr>
          <w:w w:val="105"/>
        </w:rPr>
        <w:t>ad</w:t>
      </w:r>
      <w:r>
        <w:rPr>
          <w:spacing w:val="-12"/>
          <w:w w:val="105"/>
        </w:rPr>
        <w:t> </w:t>
      </w:r>
      <w:r>
        <w:rPr>
          <w:w w:val="105"/>
        </w:rPr>
        <w:t>erogare, sotto forma di finanziamento da assoggettare ad autorizzazione e con riconoscimento della prededuzione del corrispondente credito, un importo massimo aggregato di € 650.000,00 (seicento cinquantamila /00), a valere sull’importo complessivo massimo di cui alla lettera (A) che precede, in favore di Beta e in favore di Biochemtex, impegnandosi ora per allora a rinunciare</w:t>
      </w:r>
      <w:r>
        <w:rPr>
          <w:spacing w:val="-3"/>
          <w:w w:val="105"/>
        </w:rPr>
        <w:t> </w:t>
      </w:r>
      <w:r>
        <w:rPr>
          <w:w w:val="105"/>
        </w:rPr>
        <w:t>ad</w:t>
      </w:r>
      <w:r>
        <w:rPr>
          <w:spacing w:val="-6"/>
          <w:w w:val="105"/>
        </w:rPr>
        <w:t> </w:t>
      </w:r>
      <w:r>
        <w:rPr>
          <w:w w:val="105"/>
        </w:rPr>
        <w:t>ogni</w:t>
      </w:r>
      <w:r>
        <w:rPr>
          <w:spacing w:val="-6"/>
          <w:w w:val="105"/>
        </w:rPr>
        <w:t> </w:t>
      </w:r>
      <w:r>
        <w:rPr>
          <w:w w:val="105"/>
        </w:rPr>
        <w:t>diritto</w:t>
      </w:r>
      <w:r>
        <w:rPr>
          <w:spacing w:val="-5"/>
          <w:w w:val="105"/>
        </w:rPr>
        <w:t> </w:t>
      </w:r>
      <w:r>
        <w:rPr>
          <w:w w:val="105"/>
        </w:rPr>
        <w:t>di</w:t>
      </w:r>
      <w:r>
        <w:rPr>
          <w:spacing w:val="-5"/>
          <w:w w:val="105"/>
        </w:rPr>
        <w:t> </w:t>
      </w:r>
      <w:r>
        <w:rPr>
          <w:w w:val="105"/>
        </w:rPr>
        <w:t>restituzione</w:t>
      </w:r>
      <w:r>
        <w:rPr>
          <w:spacing w:val="-5"/>
          <w:w w:val="105"/>
        </w:rPr>
        <w:t> </w:t>
      </w:r>
      <w:r>
        <w:rPr>
          <w:w w:val="105"/>
        </w:rPr>
        <w:t>sotto</w:t>
      </w:r>
      <w:r>
        <w:rPr>
          <w:spacing w:val="-6"/>
          <w:w w:val="105"/>
        </w:rPr>
        <w:t> </w:t>
      </w:r>
      <w:r>
        <w:rPr>
          <w:w w:val="105"/>
        </w:rPr>
        <w:t>condizione</w:t>
      </w:r>
      <w:r>
        <w:rPr>
          <w:spacing w:val="-6"/>
          <w:w w:val="105"/>
        </w:rPr>
        <w:t> </w:t>
      </w:r>
      <w:r>
        <w:rPr>
          <w:w w:val="105"/>
        </w:rPr>
        <w:t>dell’emissione</w:t>
      </w:r>
      <w:r>
        <w:rPr>
          <w:spacing w:val="-5"/>
          <w:w w:val="105"/>
        </w:rPr>
        <w:t> </w:t>
      </w:r>
      <w:r>
        <w:rPr>
          <w:w w:val="105"/>
        </w:rPr>
        <w:t>dei decreti</w:t>
      </w:r>
      <w:r>
        <w:rPr>
          <w:spacing w:val="-9"/>
          <w:w w:val="105"/>
        </w:rPr>
        <w:t> </w:t>
      </w:r>
      <w:r>
        <w:rPr>
          <w:w w:val="105"/>
        </w:rPr>
        <w:t>di</w:t>
      </w:r>
      <w:r>
        <w:rPr>
          <w:spacing w:val="-8"/>
          <w:w w:val="105"/>
        </w:rPr>
        <w:t> </w:t>
      </w:r>
      <w:r>
        <w:rPr>
          <w:w w:val="105"/>
        </w:rPr>
        <w:t>omologazione,</w:t>
      </w:r>
      <w:r>
        <w:rPr>
          <w:spacing w:val="-9"/>
          <w:w w:val="105"/>
        </w:rPr>
        <w:t> </w:t>
      </w:r>
      <w:r>
        <w:rPr>
          <w:w w:val="105"/>
        </w:rPr>
        <w:t>anche</w:t>
      </w:r>
      <w:r>
        <w:rPr>
          <w:spacing w:val="-8"/>
          <w:w w:val="105"/>
        </w:rPr>
        <w:t> </w:t>
      </w:r>
      <w:r>
        <w:rPr>
          <w:w w:val="105"/>
        </w:rPr>
        <w:t>provvisoriamente</w:t>
      </w:r>
      <w:r>
        <w:rPr>
          <w:spacing w:val="-9"/>
          <w:w w:val="105"/>
        </w:rPr>
        <w:t> </w:t>
      </w:r>
      <w:r>
        <w:rPr>
          <w:w w:val="105"/>
        </w:rPr>
        <w:t>esecutivi,</w:t>
      </w:r>
      <w:r>
        <w:rPr>
          <w:spacing w:val="-9"/>
          <w:w w:val="105"/>
        </w:rPr>
        <w:t> </w:t>
      </w:r>
      <w:r>
        <w:rPr>
          <w:w w:val="105"/>
        </w:rPr>
        <w:t>del</w:t>
      </w:r>
      <w:r>
        <w:rPr>
          <w:spacing w:val="-8"/>
          <w:w w:val="105"/>
        </w:rPr>
        <w:t> </w:t>
      </w:r>
      <w:r>
        <w:rPr>
          <w:w w:val="105"/>
        </w:rPr>
        <w:t>Concordato</w:t>
      </w:r>
    </w:p>
    <w:p>
      <w:pPr>
        <w:spacing w:after="0" w:line="491" w:lineRule="auto"/>
        <w:jc w:val="both"/>
        <w:sectPr>
          <w:pgSz w:w="12240" w:h="15840"/>
          <w:pgMar w:header="0" w:footer="790" w:top="1500" w:bottom="980" w:left="1720" w:right="1200"/>
        </w:sectPr>
      </w:pPr>
    </w:p>
    <w:p>
      <w:pPr>
        <w:pStyle w:val="BodyText"/>
        <w:spacing w:before="105"/>
        <w:ind w:left="400"/>
      </w:pPr>
      <w:r>
        <w:rPr>
          <w:w w:val="105"/>
        </w:rPr>
        <w:t>Preventivo di tutte le Società.</w:t>
      </w:r>
    </w:p>
    <w:p>
      <w:pPr>
        <w:pStyle w:val="BodyText"/>
        <w:rPr>
          <w:sz w:val="23"/>
        </w:rPr>
      </w:pPr>
    </w:p>
    <w:p>
      <w:pPr>
        <w:pStyle w:val="BodyText"/>
        <w:ind w:left="476" w:right="2220"/>
        <w:jc w:val="center"/>
      </w:pPr>
      <w:r>
        <w:rPr>
          <w:w w:val="105"/>
        </w:rPr>
        <w:t>* * *</w:t>
      </w:r>
    </w:p>
    <w:p>
      <w:pPr>
        <w:pStyle w:val="BodyText"/>
        <w:spacing w:before="9"/>
        <w:rPr>
          <w:sz w:val="12"/>
        </w:rPr>
      </w:pPr>
    </w:p>
    <w:p>
      <w:pPr>
        <w:pStyle w:val="Heading2"/>
        <w:numPr>
          <w:ilvl w:val="1"/>
          <w:numId w:val="18"/>
        </w:numPr>
        <w:tabs>
          <w:tab w:pos="1067" w:val="left" w:leader="none"/>
        </w:tabs>
        <w:spacing w:line="240" w:lineRule="auto" w:before="99" w:after="0"/>
        <w:ind w:left="1066" w:right="0" w:hanging="666"/>
        <w:jc w:val="both"/>
      </w:pPr>
      <w:bookmarkStart w:name="_TOC_250019" w:id="33"/>
      <w:r>
        <w:rPr>
          <w:i/>
          <w:sz w:val="24"/>
          <w:u w:val="single"/>
        </w:rPr>
        <w:t>Segue: </w:t>
      </w:r>
      <w:r>
        <w:rPr>
          <w:u w:val="single"/>
        </w:rPr>
        <w:t>la cessione dell’Immobile</w:t>
      </w:r>
      <w:r>
        <w:rPr>
          <w:spacing w:val="34"/>
          <w:u w:val="single"/>
        </w:rPr>
        <w:t> </w:t>
      </w:r>
      <w:bookmarkEnd w:id="33"/>
      <w:r>
        <w:rPr>
          <w:u w:val="single"/>
        </w:rPr>
        <w:t>Modugno</w:t>
      </w:r>
    </w:p>
    <w:p>
      <w:pPr>
        <w:pStyle w:val="BodyText"/>
        <w:spacing w:before="7"/>
        <w:rPr>
          <w:b/>
        </w:rPr>
      </w:pPr>
    </w:p>
    <w:p>
      <w:pPr>
        <w:pStyle w:val="BodyText"/>
        <w:spacing w:line="491" w:lineRule="auto"/>
        <w:ind w:left="400" w:right="2195"/>
        <w:jc w:val="both"/>
      </w:pPr>
      <w:r>
        <w:rPr>
          <w:w w:val="105"/>
        </w:rPr>
        <w:t>Riguardo alle concrete modalità di cessione dell’Immobile Modugno, la Società propone di procedere, anche prima del Decreto di Omologazione, all’apertura della procedura competitiva ex art. 163 bis legge fall., sollecitando il mercato a proporre offerte, sulla base del valore peritale di Euro 1.050.000,00 indicato dall’Arch. Massimiliano Bolamperti nel proprio </w:t>
      </w:r>
      <w:r>
        <w:rPr/>
        <w:t>elaborato peritale.</w:t>
      </w:r>
    </w:p>
    <w:p>
      <w:pPr>
        <w:pStyle w:val="BodyText"/>
        <w:ind w:left="476" w:right="2220"/>
        <w:jc w:val="center"/>
      </w:pPr>
      <w:r>
        <w:rPr>
          <w:w w:val="105"/>
        </w:rPr>
        <w:t>* * *</w:t>
      </w:r>
    </w:p>
    <w:p>
      <w:pPr>
        <w:pStyle w:val="BodyText"/>
        <w:spacing w:before="7"/>
        <w:rPr>
          <w:sz w:val="21"/>
        </w:rPr>
      </w:pPr>
    </w:p>
    <w:p>
      <w:pPr>
        <w:pStyle w:val="ListParagraph"/>
        <w:numPr>
          <w:ilvl w:val="1"/>
          <w:numId w:val="18"/>
        </w:numPr>
        <w:tabs>
          <w:tab w:pos="1067" w:val="left" w:leader="none"/>
        </w:tabs>
        <w:spacing w:line="465" w:lineRule="auto" w:before="0" w:after="0"/>
        <w:ind w:left="400" w:right="2196" w:firstLine="0"/>
        <w:jc w:val="both"/>
        <w:rPr>
          <w:b/>
          <w:sz w:val="22"/>
        </w:rPr>
      </w:pPr>
      <w:r>
        <w:rPr>
          <w:b/>
          <w:i/>
          <w:sz w:val="24"/>
          <w:u w:val="single"/>
        </w:rPr>
        <w:t>Segue</w:t>
      </w:r>
      <w:r>
        <w:rPr>
          <w:b/>
          <w:sz w:val="22"/>
          <w:u w:val="single"/>
        </w:rPr>
        <w:t>: </w:t>
      </w:r>
      <w:r>
        <w:rPr>
          <w:b/>
          <w:i/>
          <w:sz w:val="24"/>
          <w:u w:val="single"/>
        </w:rPr>
        <w:t>la Transazione Granbio </w:t>
      </w:r>
      <w:r>
        <w:rPr>
          <w:b/>
          <w:sz w:val="22"/>
          <w:u w:val="single"/>
        </w:rPr>
        <w:t>e la relativa istanza autorizzativa ex art. 167 l. </w:t>
      </w:r>
      <w:r>
        <w:rPr>
          <w:b/>
          <w:spacing w:val="11"/>
          <w:sz w:val="22"/>
          <w:u w:val="single"/>
        </w:rPr>
        <w:t> </w:t>
      </w:r>
      <w:r>
        <w:rPr>
          <w:b/>
          <w:sz w:val="22"/>
          <w:u w:val="single"/>
        </w:rPr>
        <w:t>fall.</w:t>
      </w:r>
    </w:p>
    <w:p>
      <w:pPr>
        <w:pStyle w:val="BodyText"/>
        <w:spacing w:line="491" w:lineRule="auto" w:before="26"/>
        <w:ind w:left="400" w:right="2195"/>
        <w:jc w:val="both"/>
      </w:pPr>
      <w:r>
        <w:rPr>
          <w:w w:val="105"/>
        </w:rPr>
        <w:t>Con riferimento al contenzioso promosso dalle società GranBio e BioFlex Agroindustrial, riferibili al sig. Bernardo Gradin, è proseguita – nelle more della procedura di concordato preventivo – l’attività di negoziazione tra i legali</w:t>
      </w:r>
      <w:r>
        <w:rPr>
          <w:spacing w:val="-12"/>
          <w:w w:val="105"/>
        </w:rPr>
        <w:t> </w:t>
      </w:r>
      <w:r>
        <w:rPr>
          <w:w w:val="105"/>
        </w:rPr>
        <w:t>italiani</w:t>
      </w:r>
      <w:r>
        <w:rPr>
          <w:spacing w:val="-12"/>
          <w:w w:val="105"/>
        </w:rPr>
        <w:t> </w:t>
      </w:r>
      <w:r>
        <w:rPr>
          <w:w w:val="105"/>
        </w:rPr>
        <w:t>delle</w:t>
      </w:r>
      <w:r>
        <w:rPr>
          <w:spacing w:val="-12"/>
          <w:w w:val="105"/>
        </w:rPr>
        <w:t> </w:t>
      </w:r>
      <w:r>
        <w:rPr>
          <w:w w:val="105"/>
        </w:rPr>
        <w:t>parti,</w:t>
      </w:r>
      <w:r>
        <w:rPr>
          <w:spacing w:val="-12"/>
          <w:w w:val="105"/>
        </w:rPr>
        <w:t> </w:t>
      </w:r>
      <w:r>
        <w:rPr>
          <w:w w:val="105"/>
        </w:rPr>
        <w:t>al</w:t>
      </w:r>
      <w:r>
        <w:rPr>
          <w:spacing w:val="-13"/>
          <w:w w:val="105"/>
        </w:rPr>
        <w:t> </w:t>
      </w:r>
      <w:r>
        <w:rPr>
          <w:w w:val="105"/>
        </w:rPr>
        <w:t>fine</w:t>
      </w:r>
      <w:r>
        <w:rPr>
          <w:spacing w:val="-12"/>
          <w:w w:val="105"/>
        </w:rPr>
        <w:t> </w:t>
      </w:r>
      <w:r>
        <w:rPr>
          <w:w w:val="105"/>
        </w:rPr>
        <w:t>di</w:t>
      </w:r>
      <w:r>
        <w:rPr>
          <w:spacing w:val="-13"/>
          <w:w w:val="105"/>
        </w:rPr>
        <w:t> </w:t>
      </w:r>
      <w:r>
        <w:rPr>
          <w:w w:val="105"/>
        </w:rPr>
        <w:t>giungere</w:t>
      </w:r>
      <w:r>
        <w:rPr>
          <w:spacing w:val="-12"/>
          <w:w w:val="105"/>
        </w:rPr>
        <w:t> </w:t>
      </w:r>
      <w:r>
        <w:rPr>
          <w:w w:val="105"/>
        </w:rPr>
        <w:t>a</w:t>
      </w:r>
      <w:r>
        <w:rPr>
          <w:spacing w:val="-13"/>
          <w:w w:val="105"/>
        </w:rPr>
        <w:t> </w:t>
      </w:r>
      <w:r>
        <w:rPr>
          <w:w w:val="105"/>
        </w:rPr>
        <w:t>una</w:t>
      </w:r>
      <w:r>
        <w:rPr>
          <w:spacing w:val="-12"/>
          <w:w w:val="105"/>
        </w:rPr>
        <w:t> </w:t>
      </w:r>
      <w:r>
        <w:rPr>
          <w:w w:val="105"/>
        </w:rPr>
        <w:t>soluzione</w:t>
      </w:r>
      <w:r>
        <w:rPr>
          <w:spacing w:val="-13"/>
          <w:w w:val="105"/>
        </w:rPr>
        <w:t> </w:t>
      </w:r>
      <w:r>
        <w:rPr>
          <w:w w:val="105"/>
        </w:rPr>
        <w:t>transattiva</w:t>
      </w:r>
      <w:r>
        <w:rPr>
          <w:spacing w:val="-13"/>
          <w:w w:val="105"/>
        </w:rPr>
        <w:t> </w:t>
      </w:r>
      <w:r>
        <w:rPr>
          <w:w w:val="105"/>
        </w:rPr>
        <w:t>di</w:t>
      </w:r>
      <w:r>
        <w:rPr>
          <w:spacing w:val="-12"/>
          <w:w w:val="105"/>
        </w:rPr>
        <w:t> </w:t>
      </w:r>
      <w:r>
        <w:rPr>
          <w:w w:val="105"/>
        </w:rPr>
        <w:t>tutte le controversie pendenti (vale a dire sia l’arbitrato ICC in UK, sia il procedimento</w:t>
      </w:r>
      <w:r>
        <w:rPr>
          <w:spacing w:val="-33"/>
          <w:w w:val="105"/>
        </w:rPr>
        <w:t> </w:t>
      </w:r>
      <w:r>
        <w:rPr>
          <w:w w:val="105"/>
        </w:rPr>
        <w:t>in</w:t>
      </w:r>
      <w:r>
        <w:rPr>
          <w:spacing w:val="-33"/>
          <w:w w:val="105"/>
        </w:rPr>
        <w:t> </w:t>
      </w:r>
      <w:r>
        <w:rPr>
          <w:w w:val="105"/>
        </w:rPr>
        <w:t>Brasile).</w:t>
      </w:r>
    </w:p>
    <w:p>
      <w:pPr>
        <w:pStyle w:val="BodyText"/>
        <w:spacing w:line="491" w:lineRule="auto"/>
        <w:ind w:left="400" w:right="2196"/>
        <w:jc w:val="both"/>
      </w:pPr>
      <w:r>
        <w:rPr>
          <w:w w:val="105"/>
        </w:rPr>
        <w:t>Per semplicità espositiva, si riassumono nel seguito i rapporti intercorrenti tra le parti:</w:t>
      </w:r>
    </w:p>
    <w:p>
      <w:pPr>
        <w:pStyle w:val="ListParagraph"/>
        <w:numPr>
          <w:ilvl w:val="0"/>
          <w:numId w:val="24"/>
        </w:numPr>
        <w:tabs>
          <w:tab w:pos="1391" w:val="left" w:leader="none"/>
        </w:tabs>
        <w:spacing w:line="487" w:lineRule="auto" w:before="1" w:after="0"/>
        <w:ind w:left="1334" w:right="2195" w:hanging="596"/>
        <w:jc w:val="both"/>
        <w:rPr>
          <w:sz w:val="22"/>
        </w:rPr>
      </w:pPr>
      <w:r>
        <w:rPr>
          <w:w w:val="105"/>
          <w:sz w:val="22"/>
        </w:rPr>
        <w:t>dopo l’incontro con gli assicuratori di M&amp;G Finanziaria, Biochemtex e Beta Renewables in data 10 gennaio 2018, sono occorse diverse conversazioni telefoniche tra i legali italiani delle parti  e  i  legali  delle  Società  del  Gruppo  M&amp;G  e  i    </w:t>
      </w:r>
      <w:r>
        <w:rPr>
          <w:spacing w:val="13"/>
          <w:w w:val="105"/>
          <w:sz w:val="22"/>
        </w:rPr>
        <w:t> </w:t>
      </w:r>
      <w:r>
        <w:rPr>
          <w:w w:val="105"/>
          <w:sz w:val="22"/>
        </w:rPr>
        <w:t>propri</w:t>
      </w:r>
    </w:p>
    <w:p>
      <w:pPr>
        <w:spacing w:after="0" w:line="487" w:lineRule="auto"/>
        <w:jc w:val="both"/>
        <w:rPr>
          <w:sz w:val="22"/>
        </w:rPr>
        <w:sectPr>
          <w:pgSz w:w="12240" w:h="15840"/>
          <w:pgMar w:header="0" w:footer="790" w:top="1500" w:bottom="980" w:left="1720" w:right="1200"/>
        </w:sectPr>
      </w:pPr>
    </w:p>
    <w:p>
      <w:pPr>
        <w:pStyle w:val="BodyText"/>
        <w:spacing w:line="491" w:lineRule="auto" w:before="105"/>
        <w:ind w:left="1333" w:right="2195"/>
        <w:jc w:val="both"/>
      </w:pPr>
      <w:r>
        <w:rPr>
          <w:w w:val="105"/>
        </w:rPr>
        <w:t>assicuratori inglesi, cui sono seguiti alcuni scambi di proposte riservate tra legali in cui si è ipotizzata una possibile transazione che potrebbe, in ipotesi, prevedere il pagamento, da parte delle compagnie di assicurazione, di una somma di denaro e la concessione, da parte di Beta, di alcune licenze d’uso, con determinati stringenti limiti che sono stati oggetto di negoziazione, della tecnologia Proesa.</w:t>
      </w:r>
    </w:p>
    <w:p>
      <w:pPr>
        <w:pStyle w:val="ListParagraph"/>
        <w:numPr>
          <w:ilvl w:val="0"/>
          <w:numId w:val="24"/>
        </w:numPr>
        <w:tabs>
          <w:tab w:pos="1334" w:val="left" w:leader="none"/>
        </w:tabs>
        <w:spacing w:line="489" w:lineRule="auto" w:before="1" w:after="0"/>
        <w:ind w:left="1334" w:right="2195" w:hanging="596"/>
        <w:jc w:val="both"/>
        <w:rPr>
          <w:sz w:val="22"/>
        </w:rPr>
      </w:pPr>
      <w:r>
        <w:rPr>
          <w:w w:val="105"/>
          <w:sz w:val="22"/>
        </w:rPr>
        <w:t>parallelamente,</w:t>
      </w:r>
      <w:r>
        <w:rPr>
          <w:spacing w:val="-15"/>
          <w:w w:val="105"/>
          <w:sz w:val="22"/>
        </w:rPr>
        <w:t> </w:t>
      </w:r>
      <w:r>
        <w:rPr>
          <w:w w:val="105"/>
          <w:sz w:val="22"/>
        </w:rPr>
        <w:t>in</w:t>
      </w:r>
      <w:r>
        <w:rPr>
          <w:spacing w:val="-15"/>
          <w:w w:val="105"/>
          <w:sz w:val="22"/>
        </w:rPr>
        <w:t> </w:t>
      </w:r>
      <w:r>
        <w:rPr>
          <w:w w:val="105"/>
          <w:sz w:val="22"/>
        </w:rPr>
        <w:t>Italia</w:t>
      </w:r>
      <w:r>
        <w:rPr>
          <w:spacing w:val="-15"/>
          <w:w w:val="105"/>
          <w:sz w:val="22"/>
        </w:rPr>
        <w:t> </w:t>
      </w:r>
      <w:r>
        <w:rPr>
          <w:w w:val="105"/>
          <w:sz w:val="22"/>
        </w:rPr>
        <w:t>sono</w:t>
      </w:r>
      <w:r>
        <w:rPr>
          <w:spacing w:val="-15"/>
          <w:w w:val="105"/>
          <w:sz w:val="22"/>
        </w:rPr>
        <w:t> </w:t>
      </w:r>
      <w:r>
        <w:rPr>
          <w:w w:val="105"/>
          <w:sz w:val="22"/>
        </w:rPr>
        <w:t>proseguiti</w:t>
      </w:r>
      <w:r>
        <w:rPr>
          <w:spacing w:val="-15"/>
          <w:w w:val="105"/>
          <w:sz w:val="22"/>
        </w:rPr>
        <w:t> </w:t>
      </w:r>
      <w:r>
        <w:rPr>
          <w:w w:val="105"/>
          <w:sz w:val="22"/>
        </w:rPr>
        <w:t>i</w:t>
      </w:r>
      <w:r>
        <w:rPr>
          <w:spacing w:val="-15"/>
          <w:w w:val="105"/>
          <w:sz w:val="22"/>
        </w:rPr>
        <w:t> </w:t>
      </w:r>
      <w:r>
        <w:rPr>
          <w:w w:val="105"/>
          <w:sz w:val="22"/>
        </w:rPr>
        <w:t>contatti</w:t>
      </w:r>
      <w:r>
        <w:rPr>
          <w:spacing w:val="-16"/>
          <w:w w:val="105"/>
          <w:sz w:val="22"/>
        </w:rPr>
        <w:t> </w:t>
      </w:r>
      <w:r>
        <w:rPr>
          <w:w w:val="105"/>
          <w:sz w:val="22"/>
        </w:rPr>
        <w:t>tra</w:t>
      </w:r>
      <w:r>
        <w:rPr>
          <w:spacing w:val="-15"/>
          <w:w w:val="105"/>
          <w:sz w:val="22"/>
        </w:rPr>
        <w:t> </w:t>
      </w:r>
      <w:r>
        <w:rPr>
          <w:w w:val="105"/>
          <w:sz w:val="22"/>
        </w:rPr>
        <w:t>i</w:t>
      </w:r>
      <w:r>
        <w:rPr>
          <w:spacing w:val="-15"/>
          <w:w w:val="105"/>
          <w:sz w:val="22"/>
        </w:rPr>
        <w:t> </w:t>
      </w:r>
      <w:r>
        <w:rPr>
          <w:w w:val="105"/>
          <w:sz w:val="22"/>
        </w:rPr>
        <w:t>legali</w:t>
      </w:r>
      <w:r>
        <w:rPr>
          <w:spacing w:val="-15"/>
          <w:w w:val="105"/>
          <w:sz w:val="22"/>
        </w:rPr>
        <w:t> </w:t>
      </w:r>
      <w:r>
        <w:rPr>
          <w:w w:val="105"/>
          <w:sz w:val="22"/>
        </w:rPr>
        <w:t>italiani delle</w:t>
      </w:r>
      <w:r>
        <w:rPr>
          <w:spacing w:val="-13"/>
          <w:w w:val="105"/>
          <w:sz w:val="22"/>
        </w:rPr>
        <w:t> </w:t>
      </w:r>
      <w:r>
        <w:rPr>
          <w:w w:val="105"/>
          <w:sz w:val="22"/>
        </w:rPr>
        <w:t>parti.</w:t>
      </w:r>
      <w:r>
        <w:rPr>
          <w:spacing w:val="-12"/>
          <w:w w:val="105"/>
          <w:sz w:val="22"/>
        </w:rPr>
        <w:t> </w:t>
      </w:r>
      <w:r>
        <w:rPr>
          <w:w w:val="105"/>
          <w:sz w:val="22"/>
        </w:rPr>
        <w:t>In</w:t>
      </w:r>
      <w:r>
        <w:rPr>
          <w:spacing w:val="-13"/>
          <w:w w:val="105"/>
          <w:sz w:val="22"/>
        </w:rPr>
        <w:t> </w:t>
      </w:r>
      <w:r>
        <w:rPr>
          <w:w w:val="105"/>
          <w:sz w:val="22"/>
        </w:rPr>
        <w:t>particolare,</w:t>
      </w:r>
      <w:r>
        <w:rPr>
          <w:spacing w:val="-12"/>
          <w:w w:val="105"/>
          <w:sz w:val="22"/>
        </w:rPr>
        <w:t> </w:t>
      </w:r>
      <w:r>
        <w:rPr>
          <w:w w:val="105"/>
          <w:sz w:val="22"/>
        </w:rPr>
        <w:t>nel</w:t>
      </w:r>
      <w:r>
        <w:rPr>
          <w:spacing w:val="-13"/>
          <w:w w:val="105"/>
          <w:sz w:val="22"/>
        </w:rPr>
        <w:t> </w:t>
      </w:r>
      <w:r>
        <w:rPr>
          <w:w w:val="105"/>
          <w:sz w:val="22"/>
        </w:rPr>
        <w:t>corso</w:t>
      </w:r>
      <w:r>
        <w:rPr>
          <w:spacing w:val="-13"/>
          <w:w w:val="105"/>
          <w:sz w:val="22"/>
        </w:rPr>
        <w:t> </w:t>
      </w:r>
      <w:r>
        <w:rPr>
          <w:w w:val="105"/>
          <w:sz w:val="22"/>
        </w:rPr>
        <w:t>di</w:t>
      </w:r>
      <w:r>
        <w:rPr>
          <w:spacing w:val="-13"/>
          <w:w w:val="105"/>
          <w:sz w:val="22"/>
        </w:rPr>
        <w:t> </w:t>
      </w:r>
      <w:r>
        <w:rPr>
          <w:w w:val="105"/>
          <w:sz w:val="22"/>
        </w:rPr>
        <w:t>quasi</w:t>
      </w:r>
      <w:r>
        <w:rPr>
          <w:spacing w:val="-13"/>
          <w:w w:val="105"/>
          <w:sz w:val="22"/>
        </w:rPr>
        <w:t> </w:t>
      </w:r>
      <w:r>
        <w:rPr>
          <w:w w:val="105"/>
          <w:sz w:val="22"/>
        </w:rPr>
        <w:t>tutta</w:t>
      </w:r>
      <w:r>
        <w:rPr>
          <w:spacing w:val="-13"/>
          <w:w w:val="105"/>
          <w:sz w:val="22"/>
        </w:rPr>
        <w:t> </w:t>
      </w:r>
      <w:r>
        <w:rPr>
          <w:w w:val="105"/>
          <w:sz w:val="22"/>
        </w:rPr>
        <w:t>la</w:t>
      </w:r>
      <w:r>
        <w:rPr>
          <w:spacing w:val="-13"/>
          <w:w w:val="105"/>
          <w:sz w:val="22"/>
        </w:rPr>
        <w:t> </w:t>
      </w:r>
      <w:r>
        <w:rPr>
          <w:w w:val="105"/>
          <w:sz w:val="22"/>
        </w:rPr>
        <w:t>giornata</w:t>
      </w:r>
      <w:r>
        <w:rPr>
          <w:spacing w:val="-13"/>
          <w:w w:val="105"/>
          <w:sz w:val="22"/>
        </w:rPr>
        <w:t> </w:t>
      </w:r>
      <w:r>
        <w:rPr>
          <w:w w:val="105"/>
          <w:sz w:val="22"/>
        </w:rPr>
        <w:t>del</w:t>
      </w:r>
      <w:r>
        <w:rPr>
          <w:spacing w:val="-12"/>
          <w:w w:val="105"/>
          <w:sz w:val="22"/>
        </w:rPr>
        <w:t> </w:t>
      </w:r>
      <w:r>
        <w:rPr>
          <w:w w:val="105"/>
          <w:sz w:val="22"/>
        </w:rPr>
        <w:t>27 marzo 2018 si è tenuto un incontro tra alcuni esponenti di Biochemtex e Beta Renewables e di Granbio, alla presenza dei rispettivi</w:t>
      </w:r>
      <w:r>
        <w:rPr>
          <w:spacing w:val="-6"/>
          <w:w w:val="105"/>
          <w:sz w:val="22"/>
        </w:rPr>
        <w:t> </w:t>
      </w:r>
      <w:r>
        <w:rPr>
          <w:w w:val="105"/>
          <w:sz w:val="22"/>
        </w:rPr>
        <w:t>legali,</w:t>
      </w:r>
      <w:r>
        <w:rPr>
          <w:spacing w:val="-7"/>
          <w:w w:val="105"/>
          <w:sz w:val="22"/>
        </w:rPr>
        <w:t> </w:t>
      </w:r>
      <w:r>
        <w:rPr>
          <w:w w:val="105"/>
          <w:sz w:val="22"/>
        </w:rPr>
        <w:t>nell’ambito</w:t>
      </w:r>
      <w:r>
        <w:rPr>
          <w:spacing w:val="-6"/>
          <w:w w:val="105"/>
          <w:sz w:val="22"/>
        </w:rPr>
        <w:t> </w:t>
      </w:r>
      <w:r>
        <w:rPr>
          <w:w w:val="105"/>
          <w:sz w:val="22"/>
        </w:rPr>
        <w:t>del</w:t>
      </w:r>
      <w:r>
        <w:rPr>
          <w:spacing w:val="-7"/>
          <w:w w:val="105"/>
          <w:sz w:val="22"/>
        </w:rPr>
        <w:t> </w:t>
      </w:r>
      <w:r>
        <w:rPr>
          <w:w w:val="105"/>
          <w:sz w:val="22"/>
        </w:rPr>
        <w:t>quale</w:t>
      </w:r>
      <w:r>
        <w:rPr>
          <w:spacing w:val="-5"/>
          <w:w w:val="105"/>
          <w:sz w:val="22"/>
        </w:rPr>
        <w:t> </w:t>
      </w:r>
      <w:r>
        <w:rPr>
          <w:w w:val="105"/>
          <w:sz w:val="22"/>
        </w:rPr>
        <w:t>è</w:t>
      </w:r>
      <w:r>
        <w:rPr>
          <w:spacing w:val="-7"/>
          <w:w w:val="105"/>
          <w:sz w:val="22"/>
        </w:rPr>
        <w:t> </w:t>
      </w:r>
      <w:r>
        <w:rPr>
          <w:w w:val="105"/>
          <w:sz w:val="22"/>
        </w:rPr>
        <w:t>stata</w:t>
      </w:r>
      <w:r>
        <w:rPr>
          <w:spacing w:val="-7"/>
          <w:w w:val="105"/>
          <w:sz w:val="22"/>
        </w:rPr>
        <w:t> </w:t>
      </w:r>
      <w:r>
        <w:rPr>
          <w:w w:val="105"/>
          <w:sz w:val="22"/>
        </w:rPr>
        <w:t>fortemente</w:t>
      </w:r>
      <w:r>
        <w:rPr>
          <w:spacing w:val="-6"/>
          <w:w w:val="105"/>
          <w:sz w:val="22"/>
        </w:rPr>
        <w:t> </w:t>
      </w:r>
      <w:r>
        <w:rPr>
          <w:w w:val="105"/>
          <w:sz w:val="22"/>
        </w:rPr>
        <w:t>negoziata la</w:t>
      </w:r>
      <w:r>
        <w:rPr>
          <w:spacing w:val="-27"/>
          <w:w w:val="105"/>
          <w:sz w:val="22"/>
        </w:rPr>
        <w:t> </w:t>
      </w:r>
      <w:r>
        <w:rPr>
          <w:w w:val="105"/>
          <w:sz w:val="22"/>
        </w:rPr>
        <w:t>parte</w:t>
      </w:r>
      <w:r>
        <w:rPr>
          <w:spacing w:val="-27"/>
          <w:w w:val="105"/>
          <w:sz w:val="22"/>
        </w:rPr>
        <w:t> </w:t>
      </w:r>
      <w:r>
        <w:rPr>
          <w:w w:val="105"/>
          <w:sz w:val="22"/>
        </w:rPr>
        <w:t>“tecnica”</w:t>
      </w:r>
      <w:r>
        <w:rPr>
          <w:spacing w:val="-27"/>
          <w:w w:val="105"/>
          <w:sz w:val="22"/>
        </w:rPr>
        <w:t> </w:t>
      </w:r>
      <w:r>
        <w:rPr>
          <w:w w:val="105"/>
          <w:sz w:val="22"/>
        </w:rPr>
        <w:t>dell’accordo</w:t>
      </w:r>
      <w:r>
        <w:rPr>
          <w:spacing w:val="-28"/>
          <w:w w:val="105"/>
          <w:sz w:val="22"/>
        </w:rPr>
        <w:t> </w:t>
      </w:r>
      <w:r>
        <w:rPr>
          <w:w w:val="105"/>
          <w:sz w:val="22"/>
        </w:rPr>
        <w:t>transattivo.</w:t>
      </w:r>
    </w:p>
    <w:p>
      <w:pPr>
        <w:pStyle w:val="ListParagraph"/>
        <w:numPr>
          <w:ilvl w:val="0"/>
          <w:numId w:val="24"/>
        </w:numPr>
        <w:tabs>
          <w:tab w:pos="1334" w:val="left" w:leader="none"/>
        </w:tabs>
        <w:spacing w:line="484" w:lineRule="auto" w:before="3" w:after="0"/>
        <w:ind w:left="1334" w:right="2198" w:hanging="596"/>
        <w:jc w:val="both"/>
        <w:rPr>
          <w:sz w:val="22"/>
        </w:rPr>
      </w:pPr>
      <w:r>
        <w:rPr>
          <w:w w:val="105"/>
          <w:sz w:val="22"/>
        </w:rPr>
        <w:t>in</w:t>
      </w:r>
      <w:r>
        <w:rPr>
          <w:spacing w:val="-5"/>
          <w:w w:val="105"/>
          <w:sz w:val="22"/>
        </w:rPr>
        <w:t> </w:t>
      </w:r>
      <w:r>
        <w:rPr>
          <w:w w:val="105"/>
          <w:sz w:val="22"/>
        </w:rPr>
        <w:t>data</w:t>
      </w:r>
      <w:r>
        <w:rPr>
          <w:spacing w:val="-5"/>
          <w:w w:val="105"/>
          <w:sz w:val="22"/>
        </w:rPr>
        <w:t> </w:t>
      </w:r>
      <w:r>
        <w:rPr>
          <w:w w:val="105"/>
          <w:sz w:val="22"/>
        </w:rPr>
        <w:t>28</w:t>
      </w:r>
      <w:r>
        <w:rPr>
          <w:spacing w:val="-6"/>
          <w:w w:val="105"/>
          <w:sz w:val="22"/>
        </w:rPr>
        <w:t> </w:t>
      </w:r>
      <w:r>
        <w:rPr>
          <w:w w:val="105"/>
          <w:sz w:val="22"/>
        </w:rPr>
        <w:t>marzo</w:t>
      </w:r>
      <w:r>
        <w:rPr>
          <w:spacing w:val="-5"/>
          <w:w w:val="105"/>
          <w:sz w:val="22"/>
        </w:rPr>
        <w:t> </w:t>
      </w:r>
      <w:r>
        <w:rPr>
          <w:w w:val="105"/>
          <w:sz w:val="22"/>
        </w:rPr>
        <w:t>2018</w:t>
      </w:r>
      <w:r>
        <w:rPr>
          <w:spacing w:val="-6"/>
          <w:w w:val="105"/>
          <w:sz w:val="22"/>
        </w:rPr>
        <w:t> </w:t>
      </w:r>
      <w:r>
        <w:rPr>
          <w:w w:val="105"/>
          <w:sz w:val="22"/>
        </w:rPr>
        <w:t>sono</w:t>
      </w:r>
      <w:r>
        <w:rPr>
          <w:spacing w:val="-6"/>
          <w:w w:val="105"/>
          <w:sz w:val="22"/>
        </w:rPr>
        <w:t> </w:t>
      </w:r>
      <w:r>
        <w:rPr>
          <w:w w:val="105"/>
          <w:sz w:val="22"/>
        </w:rPr>
        <w:t>proseguite</w:t>
      </w:r>
      <w:r>
        <w:rPr>
          <w:spacing w:val="-5"/>
          <w:w w:val="105"/>
          <w:sz w:val="22"/>
        </w:rPr>
        <w:t> </w:t>
      </w:r>
      <w:r>
        <w:rPr>
          <w:w w:val="105"/>
          <w:sz w:val="22"/>
        </w:rPr>
        <w:t>le</w:t>
      </w:r>
      <w:r>
        <w:rPr>
          <w:spacing w:val="-6"/>
          <w:w w:val="105"/>
          <w:sz w:val="22"/>
        </w:rPr>
        <w:t> </w:t>
      </w:r>
      <w:r>
        <w:rPr>
          <w:w w:val="105"/>
          <w:sz w:val="22"/>
        </w:rPr>
        <w:t>negoziazioni</w:t>
      </w:r>
      <w:r>
        <w:rPr>
          <w:spacing w:val="-5"/>
          <w:w w:val="105"/>
          <w:sz w:val="22"/>
        </w:rPr>
        <w:t> </w:t>
      </w:r>
      <w:r>
        <w:rPr>
          <w:w w:val="105"/>
          <w:sz w:val="22"/>
        </w:rPr>
        <w:t>tra</w:t>
      </w:r>
      <w:r>
        <w:rPr>
          <w:spacing w:val="-5"/>
          <w:w w:val="105"/>
          <w:sz w:val="22"/>
        </w:rPr>
        <w:t> </w:t>
      </w:r>
      <w:r>
        <w:rPr>
          <w:w w:val="105"/>
          <w:sz w:val="22"/>
        </w:rPr>
        <w:t>le</w:t>
      </w:r>
      <w:r>
        <w:rPr>
          <w:spacing w:val="-5"/>
          <w:w w:val="105"/>
          <w:sz w:val="22"/>
        </w:rPr>
        <w:t> </w:t>
      </w:r>
      <w:r>
        <w:rPr>
          <w:w w:val="105"/>
          <w:sz w:val="22"/>
        </w:rPr>
        <w:t>parti e i rispettivi legali, all’esito delle quali le parti hanno trovato un accordo</w:t>
      </w:r>
      <w:r>
        <w:rPr>
          <w:spacing w:val="-18"/>
          <w:w w:val="105"/>
          <w:sz w:val="22"/>
        </w:rPr>
        <w:t> </w:t>
      </w:r>
      <w:r>
        <w:rPr>
          <w:w w:val="105"/>
          <w:sz w:val="22"/>
        </w:rPr>
        <w:t>sui</w:t>
      </w:r>
      <w:r>
        <w:rPr>
          <w:spacing w:val="-19"/>
          <w:w w:val="105"/>
          <w:sz w:val="22"/>
        </w:rPr>
        <w:t> </w:t>
      </w:r>
      <w:r>
        <w:rPr>
          <w:w w:val="105"/>
          <w:sz w:val="22"/>
        </w:rPr>
        <w:t>principali</w:t>
      </w:r>
      <w:r>
        <w:rPr>
          <w:spacing w:val="-19"/>
          <w:w w:val="105"/>
          <w:sz w:val="22"/>
        </w:rPr>
        <w:t> </w:t>
      </w:r>
      <w:r>
        <w:rPr>
          <w:w w:val="105"/>
          <w:sz w:val="22"/>
        </w:rPr>
        <w:t>punti</w:t>
      </w:r>
      <w:r>
        <w:rPr>
          <w:spacing w:val="21"/>
          <w:w w:val="105"/>
          <w:sz w:val="22"/>
        </w:rPr>
        <w:t> </w:t>
      </w:r>
      <w:r>
        <w:rPr>
          <w:w w:val="105"/>
          <w:sz w:val="22"/>
        </w:rPr>
        <w:t>oggetto</w:t>
      </w:r>
      <w:r>
        <w:rPr>
          <w:spacing w:val="-18"/>
          <w:w w:val="105"/>
          <w:sz w:val="22"/>
        </w:rPr>
        <w:t> </w:t>
      </w:r>
      <w:r>
        <w:rPr>
          <w:w w:val="105"/>
          <w:sz w:val="22"/>
        </w:rPr>
        <w:t>di</w:t>
      </w:r>
      <w:r>
        <w:rPr>
          <w:spacing w:val="-19"/>
          <w:w w:val="105"/>
          <w:sz w:val="22"/>
        </w:rPr>
        <w:t> </w:t>
      </w:r>
      <w:r>
        <w:rPr>
          <w:w w:val="105"/>
          <w:sz w:val="22"/>
        </w:rPr>
        <w:t>discussione;</w:t>
      </w:r>
    </w:p>
    <w:p>
      <w:pPr>
        <w:pStyle w:val="ListParagraph"/>
        <w:numPr>
          <w:ilvl w:val="0"/>
          <w:numId w:val="24"/>
        </w:numPr>
        <w:tabs>
          <w:tab w:pos="1334" w:val="left" w:leader="none"/>
        </w:tabs>
        <w:spacing w:line="484" w:lineRule="auto" w:before="8" w:after="0"/>
        <w:ind w:left="1334" w:right="2194" w:hanging="596"/>
        <w:jc w:val="both"/>
        <w:rPr>
          <w:sz w:val="22"/>
        </w:rPr>
      </w:pPr>
      <w:r>
        <w:rPr>
          <w:w w:val="105"/>
          <w:sz w:val="22"/>
        </w:rPr>
        <w:t>successivamente sono intercorsi fittissimi contatti e corrispondenza riservata tra i legali delle parti al fine di definire i testi</w:t>
      </w:r>
      <w:r>
        <w:rPr>
          <w:spacing w:val="-18"/>
          <w:w w:val="105"/>
          <w:sz w:val="22"/>
        </w:rPr>
        <w:t> </w:t>
      </w:r>
      <w:r>
        <w:rPr>
          <w:w w:val="105"/>
          <w:sz w:val="22"/>
        </w:rPr>
        <w:t>che</w:t>
      </w:r>
      <w:r>
        <w:rPr>
          <w:spacing w:val="-17"/>
          <w:w w:val="105"/>
          <w:sz w:val="22"/>
        </w:rPr>
        <w:t> </w:t>
      </w:r>
      <w:r>
        <w:rPr>
          <w:w w:val="105"/>
          <w:sz w:val="22"/>
        </w:rPr>
        <w:t>riflettano</w:t>
      </w:r>
      <w:r>
        <w:rPr>
          <w:spacing w:val="-15"/>
          <w:w w:val="105"/>
          <w:sz w:val="22"/>
        </w:rPr>
        <w:t> </w:t>
      </w:r>
      <w:r>
        <w:rPr>
          <w:w w:val="105"/>
          <w:sz w:val="22"/>
        </w:rPr>
        <w:t>e</w:t>
      </w:r>
      <w:r>
        <w:rPr>
          <w:spacing w:val="-17"/>
          <w:w w:val="105"/>
          <w:sz w:val="22"/>
        </w:rPr>
        <w:t> </w:t>
      </w:r>
      <w:r>
        <w:rPr>
          <w:w w:val="105"/>
          <w:sz w:val="22"/>
        </w:rPr>
        <w:t>disciplinino</w:t>
      </w:r>
      <w:r>
        <w:rPr>
          <w:spacing w:val="-17"/>
          <w:w w:val="105"/>
          <w:sz w:val="22"/>
        </w:rPr>
        <w:t> </w:t>
      </w:r>
      <w:r>
        <w:rPr>
          <w:w w:val="105"/>
          <w:sz w:val="22"/>
        </w:rPr>
        <w:t>gli</w:t>
      </w:r>
      <w:r>
        <w:rPr>
          <w:spacing w:val="-17"/>
          <w:w w:val="105"/>
          <w:sz w:val="22"/>
        </w:rPr>
        <w:t> </w:t>
      </w:r>
      <w:r>
        <w:rPr>
          <w:w w:val="105"/>
          <w:sz w:val="22"/>
        </w:rPr>
        <w:t>accordi</w:t>
      </w:r>
      <w:r>
        <w:rPr>
          <w:spacing w:val="-16"/>
          <w:w w:val="105"/>
          <w:sz w:val="22"/>
        </w:rPr>
        <w:t> </w:t>
      </w:r>
      <w:r>
        <w:rPr>
          <w:w w:val="105"/>
          <w:sz w:val="22"/>
        </w:rPr>
        <w:t>raggiunti</w:t>
      </w:r>
      <w:r>
        <w:rPr>
          <w:spacing w:val="-17"/>
          <w:w w:val="105"/>
          <w:sz w:val="22"/>
        </w:rPr>
        <w:t> </w:t>
      </w:r>
      <w:r>
        <w:rPr>
          <w:w w:val="105"/>
          <w:sz w:val="22"/>
        </w:rPr>
        <w:t>tra</w:t>
      </w:r>
      <w:r>
        <w:rPr>
          <w:spacing w:val="-18"/>
          <w:w w:val="105"/>
          <w:sz w:val="22"/>
        </w:rPr>
        <w:t> </w:t>
      </w:r>
      <w:r>
        <w:rPr>
          <w:w w:val="105"/>
          <w:sz w:val="22"/>
        </w:rPr>
        <w:t>le</w:t>
      </w:r>
      <w:r>
        <w:rPr>
          <w:spacing w:val="-17"/>
          <w:w w:val="105"/>
          <w:sz w:val="22"/>
        </w:rPr>
        <w:t> </w:t>
      </w:r>
      <w:r>
        <w:rPr>
          <w:w w:val="105"/>
          <w:sz w:val="22"/>
        </w:rPr>
        <w:t>parti.</w:t>
      </w:r>
    </w:p>
    <w:p>
      <w:pPr>
        <w:pStyle w:val="BodyText"/>
        <w:spacing w:line="491" w:lineRule="auto" w:before="8"/>
        <w:ind w:left="400" w:right="2194"/>
        <w:jc w:val="both"/>
      </w:pPr>
      <w:r>
        <w:rPr>
          <w:w w:val="105"/>
        </w:rPr>
        <w:t>All’esito delle sopra indicate molteplici interlocuzioni, le parti si sono dichiarate disponibili, subordinatamente all’autorizzazione dei competenti organi</w:t>
      </w:r>
      <w:r>
        <w:rPr>
          <w:spacing w:val="-10"/>
          <w:w w:val="105"/>
        </w:rPr>
        <w:t> </w:t>
      </w:r>
      <w:r>
        <w:rPr>
          <w:w w:val="105"/>
        </w:rPr>
        <w:t>delle</w:t>
      </w:r>
      <w:r>
        <w:rPr>
          <w:spacing w:val="-10"/>
          <w:w w:val="105"/>
        </w:rPr>
        <w:t> </w:t>
      </w:r>
      <w:r>
        <w:rPr>
          <w:w w:val="105"/>
        </w:rPr>
        <w:t>rispettive</w:t>
      </w:r>
      <w:r>
        <w:rPr>
          <w:spacing w:val="-8"/>
          <w:w w:val="105"/>
        </w:rPr>
        <w:t> </w:t>
      </w:r>
      <w:r>
        <w:rPr>
          <w:w w:val="105"/>
        </w:rPr>
        <w:t>procedure</w:t>
      </w:r>
      <w:r>
        <w:rPr>
          <w:spacing w:val="-10"/>
          <w:w w:val="105"/>
        </w:rPr>
        <w:t> </w:t>
      </w:r>
      <w:r>
        <w:rPr>
          <w:w w:val="105"/>
        </w:rPr>
        <w:t>cui</w:t>
      </w:r>
      <w:r>
        <w:rPr>
          <w:spacing w:val="-10"/>
          <w:w w:val="105"/>
        </w:rPr>
        <w:t> </w:t>
      </w:r>
      <w:r>
        <w:rPr>
          <w:w w:val="105"/>
        </w:rPr>
        <w:t>sono</w:t>
      </w:r>
      <w:r>
        <w:rPr>
          <w:spacing w:val="-11"/>
          <w:w w:val="105"/>
        </w:rPr>
        <w:t> </w:t>
      </w:r>
      <w:r>
        <w:rPr>
          <w:w w:val="105"/>
        </w:rPr>
        <w:t>assoggettate,</w:t>
      </w:r>
      <w:r>
        <w:rPr>
          <w:spacing w:val="-10"/>
          <w:w w:val="105"/>
        </w:rPr>
        <w:t> </w:t>
      </w:r>
      <w:r>
        <w:rPr>
          <w:w w:val="105"/>
        </w:rPr>
        <w:t>ad</w:t>
      </w:r>
      <w:r>
        <w:rPr>
          <w:spacing w:val="-10"/>
          <w:w w:val="105"/>
        </w:rPr>
        <w:t> </w:t>
      </w:r>
      <w:r>
        <w:rPr>
          <w:w w:val="105"/>
        </w:rPr>
        <w:t>addivenire</w:t>
      </w:r>
      <w:r>
        <w:rPr>
          <w:spacing w:val="-9"/>
          <w:w w:val="105"/>
        </w:rPr>
        <w:t> </w:t>
      </w:r>
      <w:r>
        <w:rPr>
          <w:w w:val="105"/>
        </w:rPr>
        <w:t>ad</w:t>
      </w:r>
      <w:r>
        <w:rPr>
          <w:spacing w:val="-10"/>
          <w:w w:val="105"/>
        </w:rPr>
        <w:t> </w:t>
      </w:r>
      <w:r>
        <w:rPr>
          <w:w w:val="105"/>
        </w:rPr>
        <w:t>una soluzione transattiva delle predette vertenze (“</w:t>
      </w:r>
      <w:r>
        <w:rPr>
          <w:b/>
          <w:w w:val="105"/>
        </w:rPr>
        <w:t>Transazione Granbio</w:t>
      </w:r>
      <w:r>
        <w:rPr>
          <w:w w:val="105"/>
        </w:rPr>
        <w:t>”), secondo</w:t>
      </w:r>
      <w:r>
        <w:rPr>
          <w:spacing w:val="38"/>
          <w:w w:val="105"/>
        </w:rPr>
        <w:t> </w:t>
      </w:r>
      <w:r>
        <w:rPr>
          <w:w w:val="105"/>
        </w:rPr>
        <w:t>i</w:t>
      </w:r>
      <w:r>
        <w:rPr>
          <w:spacing w:val="40"/>
          <w:w w:val="105"/>
        </w:rPr>
        <w:t> </w:t>
      </w:r>
      <w:r>
        <w:rPr>
          <w:w w:val="105"/>
        </w:rPr>
        <w:t>termini</w:t>
      </w:r>
      <w:r>
        <w:rPr>
          <w:spacing w:val="39"/>
          <w:w w:val="105"/>
        </w:rPr>
        <w:t> </w:t>
      </w:r>
      <w:r>
        <w:rPr>
          <w:w w:val="105"/>
        </w:rPr>
        <w:t>ed</w:t>
      </w:r>
      <w:r>
        <w:rPr>
          <w:spacing w:val="39"/>
          <w:w w:val="105"/>
        </w:rPr>
        <w:t> </w:t>
      </w:r>
      <w:r>
        <w:rPr>
          <w:w w:val="105"/>
        </w:rPr>
        <w:t>alle</w:t>
      </w:r>
      <w:r>
        <w:rPr>
          <w:spacing w:val="39"/>
          <w:w w:val="105"/>
        </w:rPr>
        <w:t> </w:t>
      </w:r>
      <w:r>
        <w:rPr>
          <w:w w:val="105"/>
        </w:rPr>
        <w:t>condizioni</w:t>
      </w:r>
      <w:r>
        <w:rPr>
          <w:spacing w:val="37"/>
          <w:w w:val="105"/>
        </w:rPr>
        <w:t> </w:t>
      </w:r>
      <w:r>
        <w:rPr>
          <w:w w:val="105"/>
        </w:rPr>
        <w:t>riportati</w:t>
      </w:r>
      <w:r>
        <w:rPr>
          <w:spacing w:val="42"/>
          <w:w w:val="105"/>
        </w:rPr>
        <w:t> </w:t>
      </w:r>
      <w:r>
        <w:rPr>
          <w:w w:val="105"/>
        </w:rPr>
        <w:t>nel</w:t>
      </w:r>
      <w:r>
        <w:rPr>
          <w:spacing w:val="40"/>
          <w:w w:val="105"/>
        </w:rPr>
        <w:t> </w:t>
      </w:r>
      <w:r>
        <w:rPr>
          <w:b/>
          <w:w w:val="105"/>
          <w:u w:val="single"/>
        </w:rPr>
        <w:t>doc.</w:t>
      </w:r>
      <w:r>
        <w:rPr>
          <w:b/>
          <w:spacing w:val="46"/>
          <w:w w:val="105"/>
          <w:u w:val="single"/>
        </w:rPr>
        <w:t> </w:t>
      </w:r>
      <w:r>
        <w:rPr>
          <w:b/>
          <w:w w:val="105"/>
          <w:u w:val="single"/>
        </w:rPr>
        <w:t>70</w:t>
      </w:r>
      <w:r>
        <w:rPr>
          <w:b/>
          <w:spacing w:val="37"/>
          <w:w w:val="105"/>
          <w:u w:val="single"/>
        </w:rPr>
        <w:t> </w:t>
      </w:r>
      <w:r>
        <w:rPr>
          <w:w w:val="105"/>
        </w:rPr>
        <w:t>e</w:t>
      </w:r>
      <w:r>
        <w:rPr>
          <w:spacing w:val="39"/>
          <w:w w:val="105"/>
        </w:rPr>
        <w:t> </w:t>
      </w:r>
      <w:r>
        <w:rPr>
          <w:w w:val="105"/>
        </w:rPr>
        <w:t>nel</w:t>
      </w:r>
      <w:r>
        <w:rPr>
          <w:spacing w:val="40"/>
          <w:w w:val="105"/>
        </w:rPr>
        <w:t> </w:t>
      </w:r>
      <w:r>
        <w:rPr>
          <w:w w:val="105"/>
        </w:rPr>
        <w:t>seguito</w:t>
      </w:r>
    </w:p>
    <w:p>
      <w:pPr>
        <w:spacing w:after="0" w:line="491" w:lineRule="auto"/>
        <w:jc w:val="both"/>
        <w:sectPr>
          <w:pgSz w:w="12240" w:h="15840"/>
          <w:pgMar w:header="0" w:footer="790" w:top="1500" w:bottom="980" w:left="1720" w:right="1200"/>
        </w:sectPr>
      </w:pPr>
    </w:p>
    <w:p>
      <w:pPr>
        <w:pStyle w:val="BodyText"/>
        <w:spacing w:before="105"/>
        <w:ind w:left="400"/>
      </w:pPr>
      <w:r>
        <w:rPr>
          <w:w w:val="105"/>
        </w:rPr>
        <w:t>descritti in sintesi:</w:t>
      </w:r>
    </w:p>
    <w:p>
      <w:pPr>
        <w:pStyle w:val="BodyText"/>
        <w:rPr>
          <w:sz w:val="23"/>
        </w:rPr>
      </w:pPr>
    </w:p>
    <w:p>
      <w:pPr>
        <w:pStyle w:val="ListParagraph"/>
        <w:numPr>
          <w:ilvl w:val="0"/>
          <w:numId w:val="25"/>
        </w:numPr>
        <w:tabs>
          <w:tab w:pos="1334" w:val="left" w:leader="none"/>
        </w:tabs>
        <w:spacing w:line="491" w:lineRule="auto" w:before="0" w:after="0"/>
        <w:ind w:left="1334" w:right="2196" w:hanging="400"/>
        <w:jc w:val="both"/>
        <w:rPr>
          <w:sz w:val="22"/>
        </w:rPr>
      </w:pPr>
      <w:r>
        <w:rPr>
          <w:w w:val="105"/>
          <w:sz w:val="22"/>
        </w:rPr>
        <w:t>accordo transattivo quadro regolato dalla legge inglese a firma di tutte</w:t>
      </w:r>
      <w:r>
        <w:rPr>
          <w:spacing w:val="-8"/>
          <w:w w:val="105"/>
          <w:sz w:val="22"/>
        </w:rPr>
        <w:t> </w:t>
      </w:r>
      <w:r>
        <w:rPr>
          <w:w w:val="105"/>
          <w:sz w:val="22"/>
        </w:rPr>
        <w:t>le</w:t>
      </w:r>
      <w:r>
        <w:rPr>
          <w:spacing w:val="-8"/>
          <w:w w:val="105"/>
          <w:sz w:val="22"/>
        </w:rPr>
        <w:t> </w:t>
      </w:r>
      <w:r>
        <w:rPr>
          <w:w w:val="105"/>
          <w:sz w:val="22"/>
        </w:rPr>
        <w:t>parti</w:t>
      </w:r>
      <w:r>
        <w:rPr>
          <w:spacing w:val="-8"/>
          <w:w w:val="105"/>
          <w:sz w:val="22"/>
        </w:rPr>
        <w:t> </w:t>
      </w:r>
      <w:r>
        <w:rPr>
          <w:w w:val="105"/>
          <w:sz w:val="22"/>
        </w:rPr>
        <w:t>(esclusa</w:t>
      </w:r>
      <w:r>
        <w:rPr>
          <w:spacing w:val="-9"/>
          <w:w w:val="105"/>
          <w:sz w:val="22"/>
        </w:rPr>
        <w:t> </w:t>
      </w:r>
      <w:r>
        <w:rPr>
          <w:w w:val="105"/>
          <w:sz w:val="22"/>
        </w:rPr>
        <w:t>M&amp;G</w:t>
      </w:r>
      <w:r>
        <w:rPr>
          <w:spacing w:val="-8"/>
          <w:w w:val="105"/>
          <w:sz w:val="22"/>
        </w:rPr>
        <w:t> </w:t>
      </w:r>
      <w:r>
        <w:rPr>
          <w:w w:val="105"/>
          <w:sz w:val="22"/>
        </w:rPr>
        <w:t>Finanziaria</w:t>
      </w:r>
      <w:r>
        <w:rPr>
          <w:spacing w:val="-9"/>
          <w:w w:val="105"/>
          <w:sz w:val="22"/>
        </w:rPr>
        <w:t> </w:t>
      </w:r>
      <w:r>
        <w:rPr>
          <w:w w:val="105"/>
          <w:sz w:val="22"/>
        </w:rPr>
        <w:t>che</w:t>
      </w:r>
      <w:r>
        <w:rPr>
          <w:spacing w:val="-8"/>
          <w:w w:val="105"/>
          <w:sz w:val="22"/>
        </w:rPr>
        <w:t> </w:t>
      </w:r>
      <w:r>
        <w:rPr>
          <w:w w:val="105"/>
          <w:sz w:val="22"/>
        </w:rPr>
        <w:t>risulta</w:t>
      </w:r>
      <w:r>
        <w:rPr>
          <w:spacing w:val="-7"/>
          <w:w w:val="105"/>
          <w:sz w:val="22"/>
        </w:rPr>
        <w:t> </w:t>
      </w:r>
      <w:r>
        <w:rPr>
          <w:w w:val="105"/>
          <w:sz w:val="22"/>
        </w:rPr>
        <w:t>esclusivamente beneficiaria dell’accordo) che, nell’ambito della transazione, effettuano reciproche concessioni per la chiusura tombale di qualsivoglia</w:t>
      </w:r>
      <w:r>
        <w:rPr>
          <w:spacing w:val="-13"/>
          <w:w w:val="105"/>
          <w:sz w:val="22"/>
        </w:rPr>
        <w:t> </w:t>
      </w:r>
      <w:r>
        <w:rPr>
          <w:w w:val="105"/>
          <w:sz w:val="22"/>
        </w:rPr>
        <w:t>vertenza</w:t>
      </w:r>
      <w:r>
        <w:rPr>
          <w:spacing w:val="-14"/>
          <w:w w:val="105"/>
          <w:sz w:val="22"/>
        </w:rPr>
        <w:t> </w:t>
      </w:r>
      <w:r>
        <w:rPr>
          <w:w w:val="105"/>
          <w:sz w:val="22"/>
        </w:rPr>
        <w:t>tra</w:t>
      </w:r>
      <w:r>
        <w:rPr>
          <w:spacing w:val="-14"/>
          <w:w w:val="105"/>
          <w:sz w:val="22"/>
        </w:rPr>
        <w:t> </w:t>
      </w:r>
      <w:r>
        <w:rPr>
          <w:w w:val="105"/>
          <w:sz w:val="22"/>
        </w:rPr>
        <w:t>le</w:t>
      </w:r>
      <w:r>
        <w:rPr>
          <w:spacing w:val="-13"/>
          <w:w w:val="105"/>
          <w:sz w:val="22"/>
        </w:rPr>
        <w:t> </w:t>
      </w:r>
      <w:r>
        <w:rPr>
          <w:w w:val="105"/>
          <w:sz w:val="22"/>
        </w:rPr>
        <w:t>parti</w:t>
      </w:r>
      <w:r>
        <w:rPr>
          <w:spacing w:val="-13"/>
          <w:w w:val="105"/>
          <w:sz w:val="22"/>
        </w:rPr>
        <w:t> </w:t>
      </w:r>
      <w:r>
        <w:rPr>
          <w:w w:val="105"/>
          <w:sz w:val="22"/>
        </w:rPr>
        <w:t>e</w:t>
      </w:r>
      <w:r>
        <w:rPr>
          <w:spacing w:val="-14"/>
          <w:w w:val="105"/>
          <w:sz w:val="22"/>
        </w:rPr>
        <w:t> </w:t>
      </w:r>
      <w:r>
        <w:rPr>
          <w:w w:val="105"/>
          <w:sz w:val="22"/>
        </w:rPr>
        <w:t>quindi,</w:t>
      </w:r>
      <w:r>
        <w:rPr>
          <w:spacing w:val="-13"/>
          <w:w w:val="105"/>
          <w:sz w:val="22"/>
        </w:rPr>
        <w:t> </w:t>
      </w:r>
      <w:r>
        <w:rPr>
          <w:w w:val="105"/>
          <w:sz w:val="22"/>
        </w:rPr>
        <w:t>con</w:t>
      </w:r>
      <w:r>
        <w:rPr>
          <w:spacing w:val="-13"/>
          <w:w w:val="105"/>
          <w:sz w:val="22"/>
        </w:rPr>
        <w:t> </w:t>
      </w:r>
      <w:r>
        <w:rPr>
          <w:w w:val="105"/>
          <w:sz w:val="22"/>
        </w:rPr>
        <w:t>rinuncia</w:t>
      </w:r>
      <w:r>
        <w:rPr>
          <w:spacing w:val="-13"/>
          <w:w w:val="105"/>
          <w:sz w:val="22"/>
        </w:rPr>
        <w:t> </w:t>
      </w:r>
      <w:r>
        <w:rPr>
          <w:w w:val="105"/>
          <w:sz w:val="22"/>
        </w:rPr>
        <w:t>delle</w:t>
      </w:r>
      <w:r>
        <w:rPr>
          <w:spacing w:val="-13"/>
          <w:w w:val="105"/>
          <w:sz w:val="22"/>
        </w:rPr>
        <w:t> </w:t>
      </w:r>
      <w:r>
        <w:rPr>
          <w:w w:val="105"/>
          <w:sz w:val="22"/>
        </w:rPr>
        <w:t>parti</w:t>
      </w:r>
      <w:r>
        <w:rPr>
          <w:spacing w:val="-13"/>
          <w:w w:val="105"/>
          <w:sz w:val="22"/>
        </w:rPr>
        <w:t> </w:t>
      </w:r>
      <w:r>
        <w:rPr>
          <w:w w:val="105"/>
          <w:sz w:val="22"/>
        </w:rPr>
        <w:t>a tutte le pretese fatte valere nel procedimento arbitrale ICC pendente a Londra e nel procedimento brasiliano e a ogni altro diritto e/o pretesa eventualmente nascente o connessa ai fatti oggetto dei menzionati procedimenti. Tale accordo prevede, tra l’altro:</w:t>
      </w:r>
    </w:p>
    <w:p>
      <w:pPr>
        <w:pStyle w:val="ListParagraph"/>
        <w:numPr>
          <w:ilvl w:val="1"/>
          <w:numId w:val="25"/>
        </w:numPr>
        <w:tabs>
          <w:tab w:pos="2002" w:val="left" w:leader="none"/>
        </w:tabs>
        <w:spacing w:line="491" w:lineRule="auto" w:before="0" w:after="0"/>
        <w:ind w:left="2001" w:right="2197" w:hanging="667"/>
        <w:jc w:val="both"/>
        <w:rPr>
          <w:sz w:val="22"/>
        </w:rPr>
      </w:pPr>
      <w:r>
        <w:rPr>
          <w:w w:val="105"/>
          <w:sz w:val="22"/>
        </w:rPr>
        <w:t>le condizioni di pagamento, da parte delle assicurazioni, della somma di USD 25.000.000,00 a favore di Granbio</w:t>
      </w:r>
      <w:r>
        <w:rPr>
          <w:spacing w:val="-31"/>
          <w:w w:val="105"/>
          <w:sz w:val="22"/>
        </w:rPr>
        <w:t> </w:t>
      </w:r>
      <w:r>
        <w:rPr>
          <w:w w:val="105"/>
          <w:sz w:val="22"/>
        </w:rPr>
        <w:t>/ Bioflex;</w:t>
      </w:r>
    </w:p>
    <w:p>
      <w:pPr>
        <w:pStyle w:val="ListParagraph"/>
        <w:numPr>
          <w:ilvl w:val="1"/>
          <w:numId w:val="25"/>
        </w:numPr>
        <w:tabs>
          <w:tab w:pos="2002" w:val="left" w:leader="none"/>
        </w:tabs>
        <w:spacing w:line="491" w:lineRule="auto" w:before="0" w:after="0"/>
        <w:ind w:left="2001" w:right="2197" w:hanging="667"/>
        <w:jc w:val="both"/>
        <w:rPr>
          <w:sz w:val="22"/>
        </w:rPr>
      </w:pPr>
      <w:r>
        <w:rPr>
          <w:w w:val="105"/>
          <w:sz w:val="22"/>
        </w:rPr>
        <w:t>la</w:t>
      </w:r>
      <w:r>
        <w:rPr>
          <w:spacing w:val="-10"/>
          <w:w w:val="105"/>
          <w:sz w:val="22"/>
        </w:rPr>
        <w:t> </w:t>
      </w:r>
      <w:r>
        <w:rPr>
          <w:w w:val="105"/>
          <w:sz w:val="22"/>
        </w:rPr>
        <w:t>rinuncia</w:t>
      </w:r>
      <w:r>
        <w:rPr>
          <w:spacing w:val="-9"/>
          <w:w w:val="105"/>
          <w:sz w:val="22"/>
        </w:rPr>
        <w:t> </w:t>
      </w:r>
      <w:r>
        <w:rPr>
          <w:w w:val="105"/>
          <w:sz w:val="22"/>
        </w:rPr>
        <w:t>di</w:t>
      </w:r>
      <w:r>
        <w:rPr>
          <w:spacing w:val="-11"/>
          <w:w w:val="105"/>
          <w:sz w:val="22"/>
        </w:rPr>
        <w:t> </w:t>
      </w:r>
      <w:r>
        <w:rPr>
          <w:w w:val="105"/>
          <w:sz w:val="22"/>
        </w:rPr>
        <w:t>Beta</w:t>
      </w:r>
      <w:r>
        <w:rPr>
          <w:spacing w:val="-10"/>
          <w:w w:val="105"/>
          <w:sz w:val="22"/>
        </w:rPr>
        <w:t> </w:t>
      </w:r>
      <w:r>
        <w:rPr>
          <w:w w:val="105"/>
          <w:sz w:val="22"/>
        </w:rPr>
        <w:t>e</w:t>
      </w:r>
      <w:r>
        <w:rPr>
          <w:spacing w:val="-9"/>
          <w:w w:val="105"/>
          <w:sz w:val="22"/>
        </w:rPr>
        <w:t> </w:t>
      </w:r>
      <w:r>
        <w:rPr>
          <w:w w:val="105"/>
          <w:sz w:val="22"/>
        </w:rPr>
        <w:t>Biochemtex</w:t>
      </w:r>
      <w:r>
        <w:rPr>
          <w:spacing w:val="-11"/>
          <w:w w:val="105"/>
          <w:sz w:val="22"/>
        </w:rPr>
        <w:t> </w:t>
      </w:r>
      <w:r>
        <w:rPr>
          <w:w w:val="105"/>
          <w:sz w:val="22"/>
        </w:rPr>
        <w:t>ad</w:t>
      </w:r>
      <w:r>
        <w:rPr>
          <w:spacing w:val="-10"/>
          <w:w w:val="105"/>
          <w:sz w:val="22"/>
        </w:rPr>
        <w:t> </w:t>
      </w:r>
      <w:r>
        <w:rPr>
          <w:w w:val="105"/>
          <w:sz w:val="22"/>
        </w:rPr>
        <w:t>una</w:t>
      </w:r>
      <w:r>
        <w:rPr>
          <w:spacing w:val="-10"/>
          <w:w w:val="105"/>
          <w:sz w:val="22"/>
        </w:rPr>
        <w:t> </w:t>
      </w:r>
      <w:r>
        <w:rPr>
          <w:w w:val="105"/>
          <w:sz w:val="22"/>
        </w:rPr>
        <w:t>serie</w:t>
      </w:r>
      <w:r>
        <w:rPr>
          <w:spacing w:val="-10"/>
          <w:w w:val="105"/>
          <w:sz w:val="22"/>
        </w:rPr>
        <w:t> </w:t>
      </w:r>
      <w:r>
        <w:rPr>
          <w:w w:val="105"/>
          <w:sz w:val="22"/>
        </w:rPr>
        <w:t>di</w:t>
      </w:r>
      <w:r>
        <w:rPr>
          <w:spacing w:val="-10"/>
          <w:w w:val="105"/>
          <w:sz w:val="22"/>
        </w:rPr>
        <w:t> </w:t>
      </w:r>
      <w:r>
        <w:rPr>
          <w:w w:val="105"/>
          <w:sz w:val="22"/>
        </w:rPr>
        <w:t>fatture</w:t>
      </w:r>
      <w:r>
        <w:rPr>
          <w:spacing w:val="-10"/>
          <w:w w:val="105"/>
          <w:sz w:val="22"/>
        </w:rPr>
        <w:t> </w:t>
      </w:r>
      <w:r>
        <w:rPr>
          <w:w w:val="105"/>
          <w:sz w:val="22"/>
        </w:rPr>
        <w:t>nei confronti di GranBio e Bioflex Agroindustrial per circa $ 7.500.000,00 che sono state oggetto di contestazione da parte</w:t>
      </w:r>
      <w:r>
        <w:rPr>
          <w:spacing w:val="-19"/>
          <w:w w:val="105"/>
          <w:sz w:val="22"/>
        </w:rPr>
        <w:t> </w:t>
      </w:r>
      <w:r>
        <w:rPr>
          <w:w w:val="105"/>
          <w:sz w:val="22"/>
        </w:rPr>
        <w:t>di</w:t>
      </w:r>
      <w:r>
        <w:rPr>
          <w:spacing w:val="-19"/>
          <w:w w:val="105"/>
          <w:sz w:val="22"/>
        </w:rPr>
        <w:t> </w:t>
      </w:r>
      <w:r>
        <w:rPr>
          <w:w w:val="105"/>
          <w:sz w:val="22"/>
        </w:rPr>
        <w:t>queste</w:t>
      </w:r>
      <w:r>
        <w:rPr>
          <w:spacing w:val="-19"/>
          <w:w w:val="105"/>
          <w:sz w:val="22"/>
        </w:rPr>
        <w:t> </w:t>
      </w:r>
      <w:r>
        <w:rPr>
          <w:w w:val="105"/>
          <w:sz w:val="22"/>
        </w:rPr>
        <w:t>ultime;</w:t>
      </w:r>
    </w:p>
    <w:p>
      <w:pPr>
        <w:pStyle w:val="ListParagraph"/>
        <w:numPr>
          <w:ilvl w:val="1"/>
          <w:numId w:val="25"/>
        </w:numPr>
        <w:tabs>
          <w:tab w:pos="2002" w:val="left" w:leader="none"/>
        </w:tabs>
        <w:spacing w:line="491" w:lineRule="auto" w:before="0" w:after="0"/>
        <w:ind w:left="2001" w:right="2196" w:hanging="667"/>
        <w:jc w:val="both"/>
        <w:rPr>
          <w:sz w:val="22"/>
        </w:rPr>
      </w:pPr>
      <w:r>
        <w:rPr>
          <w:w w:val="105"/>
          <w:sz w:val="22"/>
        </w:rPr>
        <w:t>la modifica del contratto di licenza già in essere tra Beta e Granbio,</w:t>
      </w:r>
      <w:r>
        <w:rPr>
          <w:spacing w:val="-10"/>
          <w:w w:val="105"/>
          <w:sz w:val="22"/>
        </w:rPr>
        <w:t> </w:t>
      </w:r>
      <w:r>
        <w:rPr>
          <w:w w:val="105"/>
          <w:sz w:val="22"/>
        </w:rPr>
        <w:t>peraltro</w:t>
      </w:r>
      <w:r>
        <w:rPr>
          <w:spacing w:val="-9"/>
          <w:w w:val="105"/>
          <w:sz w:val="22"/>
        </w:rPr>
        <w:t> </w:t>
      </w:r>
      <w:r>
        <w:rPr>
          <w:w w:val="105"/>
          <w:sz w:val="22"/>
        </w:rPr>
        <w:t>attraverso</w:t>
      </w:r>
      <w:r>
        <w:rPr>
          <w:spacing w:val="-9"/>
          <w:w w:val="105"/>
          <w:sz w:val="22"/>
        </w:rPr>
        <w:t> </w:t>
      </w:r>
      <w:r>
        <w:rPr>
          <w:w w:val="105"/>
          <w:sz w:val="22"/>
        </w:rPr>
        <w:t>l’eliminazione</w:t>
      </w:r>
      <w:r>
        <w:rPr>
          <w:spacing w:val="-10"/>
          <w:w w:val="105"/>
          <w:sz w:val="22"/>
        </w:rPr>
        <w:t> </w:t>
      </w:r>
      <w:r>
        <w:rPr>
          <w:w w:val="105"/>
          <w:sz w:val="22"/>
        </w:rPr>
        <w:t>di</w:t>
      </w:r>
      <w:r>
        <w:rPr>
          <w:spacing w:val="-10"/>
          <w:w w:val="105"/>
          <w:sz w:val="22"/>
        </w:rPr>
        <w:t> </w:t>
      </w:r>
      <w:r>
        <w:rPr>
          <w:w w:val="105"/>
          <w:sz w:val="22"/>
        </w:rPr>
        <w:t>determinate garanzie precedentemente rilasciate da Beta a favore di GranBio;</w:t>
      </w:r>
    </w:p>
    <w:p>
      <w:pPr>
        <w:pStyle w:val="ListParagraph"/>
        <w:numPr>
          <w:ilvl w:val="1"/>
          <w:numId w:val="25"/>
        </w:numPr>
        <w:tabs>
          <w:tab w:pos="2002" w:val="left" w:leader="none"/>
        </w:tabs>
        <w:spacing w:line="494" w:lineRule="auto" w:before="0" w:after="0"/>
        <w:ind w:left="2001" w:right="2196" w:hanging="668"/>
        <w:jc w:val="both"/>
        <w:rPr>
          <w:sz w:val="22"/>
        </w:rPr>
      </w:pPr>
      <w:r>
        <w:rPr>
          <w:w w:val="105"/>
          <w:sz w:val="22"/>
        </w:rPr>
        <w:t>il riconoscimento da parte di Beta e Biochemtex che la tecnologia  utilizzata  presso  l’impianto  di  Granbio    </w:t>
      </w:r>
      <w:r>
        <w:rPr>
          <w:spacing w:val="22"/>
          <w:w w:val="105"/>
          <w:sz w:val="22"/>
        </w:rPr>
        <w:t> </w:t>
      </w:r>
      <w:r>
        <w:rPr>
          <w:w w:val="105"/>
          <w:sz w:val="22"/>
        </w:rPr>
        <w:t>è</w:t>
      </w:r>
    </w:p>
    <w:p>
      <w:pPr>
        <w:spacing w:after="0" w:line="494" w:lineRule="auto"/>
        <w:jc w:val="both"/>
        <w:rPr>
          <w:sz w:val="22"/>
        </w:rPr>
        <w:sectPr>
          <w:pgSz w:w="12240" w:h="15840"/>
          <w:pgMar w:header="0" w:footer="790" w:top="1500" w:bottom="980" w:left="1720" w:right="1200"/>
        </w:sectPr>
      </w:pPr>
    </w:p>
    <w:p>
      <w:pPr>
        <w:pStyle w:val="BodyText"/>
        <w:tabs>
          <w:tab w:pos="2831" w:val="left" w:leader="none"/>
          <w:tab w:pos="3446" w:val="left" w:leader="none"/>
          <w:tab w:pos="4557" w:val="left" w:leader="none"/>
          <w:tab w:pos="5362" w:val="left" w:leader="none"/>
          <w:tab w:pos="5742" w:val="left" w:leader="none"/>
          <w:tab w:pos="6348" w:val="left" w:leader="none"/>
        </w:tabs>
        <w:spacing w:line="491" w:lineRule="auto" w:before="105"/>
        <w:ind w:left="2001" w:right="2196"/>
      </w:pPr>
      <w:r>
        <w:rPr>
          <w:w w:val="105"/>
        </w:rPr>
        <w:t>diversa</w:t>
        <w:tab/>
        <w:t>dalla</w:t>
        <w:tab/>
        <w:t>tecnologia</w:t>
        <w:tab/>
        <w:t>Proesa</w:t>
        <w:tab/>
        <w:t>di</w:t>
        <w:tab/>
        <w:t>Beta</w:t>
        <w:tab/>
      </w:r>
      <w:r>
        <w:rPr/>
        <w:t>utilizzata </w:t>
      </w:r>
      <w:r>
        <w:rPr>
          <w:w w:val="105"/>
        </w:rPr>
        <w:t>dall’impianto</w:t>
      </w:r>
      <w:r>
        <w:rPr>
          <w:spacing w:val="-36"/>
          <w:w w:val="105"/>
        </w:rPr>
        <w:t> </w:t>
      </w:r>
      <w:r>
        <w:rPr>
          <w:w w:val="105"/>
        </w:rPr>
        <w:t>di</w:t>
      </w:r>
      <w:r>
        <w:rPr>
          <w:spacing w:val="-36"/>
          <w:w w:val="105"/>
        </w:rPr>
        <w:t> </w:t>
      </w:r>
      <w:r>
        <w:rPr>
          <w:w w:val="105"/>
        </w:rPr>
        <w:t>Crescentino;</w:t>
      </w:r>
    </w:p>
    <w:p>
      <w:pPr>
        <w:pStyle w:val="ListParagraph"/>
        <w:numPr>
          <w:ilvl w:val="0"/>
          <w:numId w:val="25"/>
        </w:numPr>
        <w:tabs>
          <w:tab w:pos="1334" w:val="left" w:leader="none"/>
        </w:tabs>
        <w:spacing w:line="491" w:lineRule="auto" w:before="1" w:after="0"/>
        <w:ind w:left="1334" w:right="2196" w:hanging="400"/>
        <w:jc w:val="both"/>
        <w:rPr>
          <w:sz w:val="22"/>
        </w:rPr>
      </w:pPr>
      <w:r>
        <w:rPr>
          <w:w w:val="105"/>
          <w:sz w:val="22"/>
        </w:rPr>
        <w:t>a tale accordo quadro è collegato un contratto regolato da legge italiana</w:t>
      </w:r>
      <w:r>
        <w:rPr>
          <w:spacing w:val="-7"/>
          <w:w w:val="105"/>
          <w:sz w:val="22"/>
        </w:rPr>
        <w:t> </w:t>
      </w:r>
      <w:r>
        <w:rPr>
          <w:w w:val="105"/>
          <w:sz w:val="22"/>
        </w:rPr>
        <w:t>che</w:t>
      </w:r>
      <w:r>
        <w:rPr>
          <w:spacing w:val="-7"/>
          <w:w w:val="105"/>
          <w:sz w:val="22"/>
        </w:rPr>
        <w:t> </w:t>
      </w:r>
      <w:r>
        <w:rPr>
          <w:w w:val="105"/>
          <w:sz w:val="22"/>
        </w:rPr>
        <w:t>prevede</w:t>
      </w:r>
      <w:r>
        <w:rPr>
          <w:spacing w:val="-6"/>
          <w:w w:val="105"/>
          <w:sz w:val="22"/>
        </w:rPr>
        <w:t> </w:t>
      </w:r>
      <w:r>
        <w:rPr>
          <w:w w:val="105"/>
          <w:sz w:val="22"/>
        </w:rPr>
        <w:t>la</w:t>
      </w:r>
      <w:r>
        <w:rPr>
          <w:spacing w:val="-8"/>
          <w:w w:val="105"/>
          <w:sz w:val="22"/>
        </w:rPr>
        <w:t> </w:t>
      </w:r>
      <w:r>
        <w:rPr>
          <w:w w:val="105"/>
          <w:sz w:val="22"/>
        </w:rPr>
        <w:t>concessione</w:t>
      </w:r>
      <w:r>
        <w:rPr>
          <w:spacing w:val="-8"/>
          <w:w w:val="105"/>
          <w:sz w:val="22"/>
        </w:rPr>
        <w:t> </w:t>
      </w:r>
      <w:r>
        <w:rPr>
          <w:w w:val="105"/>
          <w:sz w:val="22"/>
        </w:rPr>
        <w:t>da</w:t>
      </w:r>
      <w:r>
        <w:rPr>
          <w:spacing w:val="-7"/>
          <w:w w:val="105"/>
          <w:sz w:val="22"/>
        </w:rPr>
        <w:t> </w:t>
      </w:r>
      <w:r>
        <w:rPr>
          <w:w w:val="105"/>
          <w:sz w:val="22"/>
        </w:rPr>
        <w:t>parte</w:t>
      </w:r>
      <w:r>
        <w:rPr>
          <w:spacing w:val="-6"/>
          <w:w w:val="105"/>
          <w:sz w:val="22"/>
        </w:rPr>
        <w:t> </w:t>
      </w:r>
      <w:r>
        <w:rPr>
          <w:w w:val="105"/>
          <w:sz w:val="22"/>
        </w:rPr>
        <w:t>di</w:t>
      </w:r>
      <w:r>
        <w:rPr>
          <w:spacing w:val="-7"/>
          <w:w w:val="105"/>
          <w:sz w:val="22"/>
        </w:rPr>
        <w:t> </w:t>
      </w:r>
      <w:r>
        <w:rPr>
          <w:w w:val="105"/>
          <w:sz w:val="22"/>
        </w:rPr>
        <w:t>Beta</w:t>
      </w:r>
      <w:r>
        <w:rPr>
          <w:spacing w:val="-8"/>
          <w:w w:val="105"/>
          <w:sz w:val="22"/>
        </w:rPr>
        <w:t> </w:t>
      </w:r>
      <w:r>
        <w:rPr>
          <w:w w:val="105"/>
          <w:sz w:val="22"/>
        </w:rPr>
        <w:t>di</w:t>
      </w:r>
      <w:r>
        <w:rPr>
          <w:spacing w:val="-7"/>
          <w:w w:val="105"/>
          <w:sz w:val="22"/>
        </w:rPr>
        <w:t> </w:t>
      </w:r>
      <w:r>
        <w:rPr>
          <w:w w:val="105"/>
          <w:sz w:val="22"/>
        </w:rPr>
        <w:t>due</w:t>
      </w:r>
      <w:r>
        <w:rPr>
          <w:spacing w:val="-8"/>
          <w:w w:val="105"/>
          <w:sz w:val="22"/>
        </w:rPr>
        <w:t> </w:t>
      </w:r>
      <w:r>
        <w:rPr>
          <w:w w:val="105"/>
          <w:sz w:val="22"/>
        </w:rPr>
        <w:t>licenze gratuite a Granbio (o a società da quest’ultima controllate) aventi ad oggetto esclusivamente alcuni brevetti di titolarità di Beta (e non</w:t>
      </w:r>
      <w:r>
        <w:rPr>
          <w:spacing w:val="-14"/>
          <w:w w:val="105"/>
          <w:sz w:val="22"/>
        </w:rPr>
        <w:t> </w:t>
      </w:r>
      <w:r>
        <w:rPr>
          <w:w w:val="105"/>
          <w:sz w:val="22"/>
        </w:rPr>
        <w:t>quindi</w:t>
      </w:r>
      <w:r>
        <w:rPr>
          <w:spacing w:val="-15"/>
          <w:w w:val="105"/>
          <w:sz w:val="22"/>
        </w:rPr>
        <w:t> </w:t>
      </w:r>
      <w:r>
        <w:rPr>
          <w:w w:val="105"/>
          <w:sz w:val="22"/>
        </w:rPr>
        <w:t>l’intera</w:t>
      </w:r>
      <w:r>
        <w:rPr>
          <w:spacing w:val="-14"/>
          <w:w w:val="105"/>
          <w:sz w:val="22"/>
        </w:rPr>
        <w:t> </w:t>
      </w:r>
      <w:r>
        <w:rPr>
          <w:w w:val="105"/>
          <w:sz w:val="22"/>
        </w:rPr>
        <w:t>tecnologia</w:t>
      </w:r>
      <w:r>
        <w:rPr>
          <w:spacing w:val="-15"/>
          <w:w w:val="105"/>
          <w:sz w:val="22"/>
        </w:rPr>
        <w:t> </w:t>
      </w:r>
      <w:r>
        <w:rPr>
          <w:w w:val="105"/>
          <w:sz w:val="22"/>
        </w:rPr>
        <w:t>Proesa)</w:t>
      </w:r>
      <w:r>
        <w:rPr>
          <w:spacing w:val="-15"/>
          <w:w w:val="105"/>
          <w:sz w:val="22"/>
        </w:rPr>
        <w:t> </w:t>
      </w:r>
      <w:r>
        <w:rPr>
          <w:w w:val="105"/>
          <w:sz w:val="22"/>
        </w:rPr>
        <w:t>da</w:t>
      </w:r>
      <w:r>
        <w:rPr>
          <w:spacing w:val="-15"/>
          <w:w w:val="105"/>
          <w:sz w:val="22"/>
        </w:rPr>
        <w:t> </w:t>
      </w:r>
      <w:r>
        <w:rPr>
          <w:w w:val="105"/>
          <w:sz w:val="22"/>
        </w:rPr>
        <w:t>utilizzare</w:t>
      </w:r>
      <w:r>
        <w:rPr>
          <w:spacing w:val="-15"/>
          <w:w w:val="105"/>
          <w:sz w:val="22"/>
        </w:rPr>
        <w:t> </w:t>
      </w:r>
      <w:r>
        <w:rPr>
          <w:w w:val="105"/>
          <w:sz w:val="22"/>
        </w:rPr>
        <w:t>esclusivamente nell’ambito del territorio brasiliano per la realizzazione di due impianti di bioetanolo. Nell’ambito di tale Beta non fornisce garanzie</w:t>
      </w:r>
      <w:r>
        <w:rPr>
          <w:spacing w:val="-19"/>
          <w:w w:val="105"/>
          <w:sz w:val="22"/>
        </w:rPr>
        <w:t> </w:t>
      </w:r>
      <w:r>
        <w:rPr>
          <w:w w:val="105"/>
          <w:sz w:val="22"/>
        </w:rPr>
        <w:t>rispetto</w:t>
      </w:r>
      <w:r>
        <w:rPr>
          <w:spacing w:val="-19"/>
          <w:w w:val="105"/>
          <w:sz w:val="22"/>
        </w:rPr>
        <w:t> </w:t>
      </w:r>
      <w:r>
        <w:rPr>
          <w:w w:val="105"/>
          <w:sz w:val="22"/>
        </w:rPr>
        <w:t>a</w:t>
      </w:r>
      <w:r>
        <w:rPr>
          <w:spacing w:val="-19"/>
          <w:w w:val="105"/>
          <w:sz w:val="22"/>
        </w:rPr>
        <w:t> </w:t>
      </w:r>
      <w:r>
        <w:rPr>
          <w:w w:val="105"/>
          <w:sz w:val="22"/>
        </w:rPr>
        <w:t>tali</w:t>
      </w:r>
      <w:r>
        <w:rPr>
          <w:spacing w:val="-19"/>
          <w:w w:val="105"/>
          <w:sz w:val="22"/>
        </w:rPr>
        <w:t> </w:t>
      </w:r>
      <w:r>
        <w:rPr>
          <w:w w:val="105"/>
          <w:sz w:val="22"/>
        </w:rPr>
        <w:t>brevetti;</w:t>
      </w:r>
    </w:p>
    <w:p>
      <w:pPr>
        <w:pStyle w:val="ListParagraph"/>
        <w:numPr>
          <w:ilvl w:val="0"/>
          <w:numId w:val="25"/>
        </w:numPr>
        <w:tabs>
          <w:tab w:pos="1334" w:val="left" w:leader="none"/>
        </w:tabs>
        <w:spacing w:line="491" w:lineRule="auto" w:before="1" w:after="0"/>
        <w:ind w:left="1334" w:right="2196" w:hanging="400"/>
        <w:jc w:val="both"/>
        <w:rPr>
          <w:sz w:val="22"/>
        </w:rPr>
      </w:pPr>
      <w:r>
        <w:rPr>
          <w:w w:val="105"/>
          <w:sz w:val="22"/>
        </w:rPr>
        <w:t>accordo transattivo tra M&amp;G Finanziaria, Biochemtex e Beta, da una parte, e le assicurazioni, dall’altra, per la chiusura tombale di ogni possibile contestazione o controversia circa l’ampiezza della copertura</w:t>
      </w:r>
      <w:r>
        <w:rPr>
          <w:spacing w:val="-22"/>
          <w:w w:val="105"/>
          <w:sz w:val="22"/>
        </w:rPr>
        <w:t> </w:t>
      </w:r>
      <w:r>
        <w:rPr>
          <w:w w:val="105"/>
          <w:sz w:val="22"/>
        </w:rPr>
        <w:t>assicurativa</w:t>
      </w:r>
      <w:r>
        <w:rPr>
          <w:spacing w:val="-21"/>
          <w:w w:val="105"/>
          <w:sz w:val="22"/>
        </w:rPr>
        <w:t> </w:t>
      </w:r>
      <w:r>
        <w:rPr>
          <w:w w:val="105"/>
          <w:sz w:val="22"/>
        </w:rPr>
        <w:t>fornita</w:t>
      </w:r>
      <w:r>
        <w:rPr>
          <w:spacing w:val="-21"/>
          <w:w w:val="105"/>
          <w:sz w:val="22"/>
        </w:rPr>
        <w:t> </w:t>
      </w:r>
      <w:r>
        <w:rPr>
          <w:w w:val="105"/>
          <w:sz w:val="22"/>
        </w:rPr>
        <w:t>dalle</w:t>
      </w:r>
      <w:r>
        <w:rPr>
          <w:spacing w:val="-21"/>
          <w:w w:val="105"/>
          <w:sz w:val="22"/>
        </w:rPr>
        <w:t> </w:t>
      </w:r>
      <w:r>
        <w:rPr>
          <w:w w:val="105"/>
          <w:sz w:val="22"/>
        </w:rPr>
        <w:t>polizze</w:t>
      </w:r>
      <w:r>
        <w:rPr>
          <w:spacing w:val="-19"/>
          <w:w w:val="105"/>
          <w:sz w:val="22"/>
        </w:rPr>
        <w:t> </w:t>
      </w:r>
      <w:r>
        <w:rPr>
          <w:w w:val="105"/>
          <w:sz w:val="22"/>
        </w:rPr>
        <w:t>assicurative</w:t>
      </w:r>
      <w:r>
        <w:rPr>
          <w:spacing w:val="-21"/>
          <w:w w:val="105"/>
          <w:sz w:val="22"/>
        </w:rPr>
        <w:t> </w:t>
      </w:r>
      <w:r>
        <w:rPr>
          <w:w w:val="105"/>
          <w:sz w:val="22"/>
        </w:rPr>
        <w:t>nel</w:t>
      </w:r>
      <w:r>
        <w:rPr>
          <w:spacing w:val="-21"/>
          <w:w w:val="105"/>
          <w:sz w:val="22"/>
        </w:rPr>
        <w:t> </w:t>
      </w:r>
      <w:r>
        <w:rPr>
          <w:w w:val="105"/>
          <w:sz w:val="22"/>
        </w:rPr>
        <w:t>periodo dal</w:t>
      </w:r>
      <w:r>
        <w:rPr>
          <w:spacing w:val="-6"/>
          <w:w w:val="105"/>
          <w:sz w:val="22"/>
        </w:rPr>
        <w:t> </w:t>
      </w:r>
      <w:r>
        <w:rPr>
          <w:w w:val="105"/>
          <w:sz w:val="22"/>
        </w:rPr>
        <w:t>30</w:t>
      </w:r>
      <w:r>
        <w:rPr>
          <w:spacing w:val="-5"/>
          <w:w w:val="105"/>
          <w:sz w:val="22"/>
        </w:rPr>
        <w:t> </w:t>
      </w:r>
      <w:r>
        <w:rPr>
          <w:w w:val="105"/>
          <w:sz w:val="22"/>
        </w:rPr>
        <w:t>giugno</w:t>
      </w:r>
      <w:r>
        <w:rPr>
          <w:spacing w:val="-6"/>
          <w:w w:val="105"/>
          <w:sz w:val="22"/>
        </w:rPr>
        <w:t> </w:t>
      </w:r>
      <w:r>
        <w:rPr>
          <w:w w:val="105"/>
          <w:sz w:val="22"/>
        </w:rPr>
        <w:t>2014</w:t>
      </w:r>
      <w:r>
        <w:rPr>
          <w:spacing w:val="-5"/>
          <w:w w:val="105"/>
          <w:sz w:val="22"/>
        </w:rPr>
        <w:t> </w:t>
      </w:r>
      <w:r>
        <w:rPr>
          <w:w w:val="105"/>
          <w:sz w:val="22"/>
        </w:rPr>
        <w:t>al</w:t>
      </w:r>
      <w:r>
        <w:rPr>
          <w:spacing w:val="-6"/>
          <w:w w:val="105"/>
          <w:sz w:val="22"/>
        </w:rPr>
        <w:t> </w:t>
      </w:r>
      <w:r>
        <w:rPr>
          <w:w w:val="105"/>
          <w:sz w:val="22"/>
        </w:rPr>
        <w:t>30</w:t>
      </w:r>
      <w:r>
        <w:rPr>
          <w:spacing w:val="-6"/>
          <w:w w:val="105"/>
          <w:sz w:val="22"/>
        </w:rPr>
        <w:t> </w:t>
      </w:r>
      <w:r>
        <w:rPr>
          <w:w w:val="105"/>
          <w:sz w:val="22"/>
        </w:rPr>
        <w:t>giugno</w:t>
      </w:r>
      <w:r>
        <w:rPr>
          <w:spacing w:val="-5"/>
          <w:w w:val="105"/>
          <w:sz w:val="22"/>
        </w:rPr>
        <w:t> </w:t>
      </w:r>
      <w:r>
        <w:rPr>
          <w:w w:val="105"/>
          <w:sz w:val="22"/>
        </w:rPr>
        <w:t>2015</w:t>
      </w:r>
      <w:r>
        <w:rPr>
          <w:spacing w:val="-6"/>
          <w:w w:val="105"/>
          <w:sz w:val="22"/>
        </w:rPr>
        <w:t> </w:t>
      </w:r>
      <w:r>
        <w:rPr>
          <w:w w:val="105"/>
          <w:sz w:val="22"/>
        </w:rPr>
        <w:t>a</w:t>
      </w:r>
      <w:r>
        <w:rPr>
          <w:spacing w:val="-6"/>
          <w:w w:val="105"/>
          <w:sz w:val="22"/>
        </w:rPr>
        <w:t> </w:t>
      </w:r>
      <w:r>
        <w:rPr>
          <w:w w:val="105"/>
          <w:sz w:val="22"/>
        </w:rPr>
        <w:t>fronte</w:t>
      </w:r>
      <w:r>
        <w:rPr>
          <w:spacing w:val="-5"/>
          <w:w w:val="105"/>
          <w:sz w:val="22"/>
        </w:rPr>
        <w:t> </w:t>
      </w:r>
      <w:r>
        <w:rPr>
          <w:w w:val="105"/>
          <w:sz w:val="22"/>
        </w:rPr>
        <w:t>del</w:t>
      </w:r>
      <w:r>
        <w:rPr>
          <w:spacing w:val="-5"/>
          <w:w w:val="105"/>
          <w:sz w:val="22"/>
        </w:rPr>
        <w:t> </w:t>
      </w:r>
      <w:r>
        <w:rPr>
          <w:w w:val="105"/>
          <w:sz w:val="22"/>
        </w:rPr>
        <w:t>pagamento</w:t>
      </w:r>
      <w:r>
        <w:rPr>
          <w:spacing w:val="-4"/>
          <w:w w:val="105"/>
          <w:sz w:val="22"/>
        </w:rPr>
        <w:t> </w:t>
      </w:r>
      <w:r>
        <w:rPr>
          <w:w w:val="105"/>
          <w:sz w:val="22"/>
        </w:rPr>
        <w:t>che le assicurazioni compiranno in esecuzione dell’accordo quadro transattivo.</w:t>
      </w:r>
    </w:p>
    <w:p>
      <w:pPr>
        <w:pStyle w:val="BodyText"/>
        <w:spacing w:line="491" w:lineRule="auto"/>
        <w:ind w:left="400" w:right="2196"/>
        <w:jc w:val="both"/>
      </w:pPr>
      <w:r>
        <w:rPr>
          <w:w w:val="105"/>
        </w:rPr>
        <w:t>Alla luce di quanto precede, la Società chiede che codesto Ill.mo Tribunale emetta un’autorizzazione </w:t>
      </w:r>
      <w:r>
        <w:rPr>
          <w:i/>
          <w:w w:val="105"/>
        </w:rPr>
        <w:t>ex </w:t>
      </w:r>
      <w:r>
        <w:rPr>
          <w:w w:val="105"/>
        </w:rPr>
        <w:t>art. 167 legge fall. al fine di poter dare efficacia alla</w:t>
      </w:r>
      <w:r>
        <w:rPr>
          <w:spacing w:val="-6"/>
          <w:w w:val="105"/>
        </w:rPr>
        <w:t> </w:t>
      </w:r>
      <w:r>
        <w:rPr>
          <w:w w:val="105"/>
        </w:rPr>
        <w:t>Transazione</w:t>
      </w:r>
      <w:r>
        <w:rPr>
          <w:spacing w:val="-6"/>
          <w:w w:val="105"/>
        </w:rPr>
        <w:t> </w:t>
      </w:r>
      <w:r>
        <w:rPr>
          <w:w w:val="105"/>
        </w:rPr>
        <w:t>Granbio,</w:t>
      </w:r>
      <w:r>
        <w:rPr>
          <w:spacing w:val="-6"/>
          <w:w w:val="105"/>
        </w:rPr>
        <w:t> </w:t>
      </w:r>
      <w:r>
        <w:rPr>
          <w:w w:val="105"/>
        </w:rPr>
        <w:t>avendo</w:t>
      </w:r>
      <w:r>
        <w:rPr>
          <w:spacing w:val="-5"/>
          <w:w w:val="105"/>
        </w:rPr>
        <w:t> </w:t>
      </w:r>
      <w:r>
        <w:rPr>
          <w:w w:val="105"/>
        </w:rPr>
        <w:t>riguardo</w:t>
      </w:r>
      <w:r>
        <w:rPr>
          <w:spacing w:val="-6"/>
          <w:w w:val="105"/>
        </w:rPr>
        <w:t> </w:t>
      </w:r>
      <w:r>
        <w:rPr>
          <w:w w:val="105"/>
        </w:rPr>
        <w:t>alla</w:t>
      </w:r>
      <w:r>
        <w:rPr>
          <w:spacing w:val="-6"/>
          <w:w w:val="105"/>
        </w:rPr>
        <w:t> </w:t>
      </w:r>
      <w:r>
        <w:rPr>
          <w:w w:val="105"/>
        </w:rPr>
        <w:t>circostanza</w:t>
      </w:r>
      <w:r>
        <w:rPr>
          <w:spacing w:val="-8"/>
          <w:w w:val="105"/>
        </w:rPr>
        <w:t> </w:t>
      </w:r>
      <w:r>
        <w:rPr>
          <w:w w:val="105"/>
        </w:rPr>
        <w:t>che</w:t>
      </w:r>
      <w:r>
        <w:rPr>
          <w:spacing w:val="-6"/>
          <w:w w:val="105"/>
        </w:rPr>
        <w:t> </w:t>
      </w:r>
      <w:r>
        <w:rPr>
          <w:w w:val="105"/>
        </w:rPr>
        <w:t>per</w:t>
      </w:r>
      <w:r>
        <w:rPr>
          <w:spacing w:val="-6"/>
          <w:w w:val="105"/>
        </w:rPr>
        <w:t> </w:t>
      </w:r>
      <w:r>
        <w:rPr>
          <w:w w:val="105"/>
        </w:rPr>
        <w:t>richiesta di parti terze diverse dalla Società, la relativa condizione sospensiva deve avverarsi entro il termine di sessanta giorni dalla sottoscrizione, con possibilità di proroga, in base alle esigenze concordatarie, fino al 30 </w:t>
      </w:r>
      <w:r>
        <w:rPr/>
        <w:t>settembre</w:t>
      </w:r>
      <w:r>
        <w:rPr>
          <w:spacing w:val="27"/>
        </w:rPr>
        <w:t> </w:t>
      </w:r>
      <w:r>
        <w:rPr/>
        <w:t>2018..</w:t>
      </w:r>
    </w:p>
    <w:p>
      <w:pPr>
        <w:spacing w:after="0" w:line="491" w:lineRule="auto"/>
        <w:jc w:val="both"/>
        <w:sectPr>
          <w:pgSz w:w="12240" w:h="15840"/>
          <w:pgMar w:header="0" w:footer="790" w:top="1500" w:bottom="980" w:left="1720" w:right="1200"/>
        </w:sectPr>
      </w:pPr>
    </w:p>
    <w:p>
      <w:pPr>
        <w:pStyle w:val="BodyText"/>
        <w:spacing w:line="491" w:lineRule="auto" w:before="105"/>
        <w:ind w:left="400" w:right="2196"/>
        <w:jc w:val="both"/>
      </w:pPr>
      <w:r>
        <w:rPr>
          <w:w w:val="105"/>
        </w:rPr>
        <w:t>In una prospettiva di massima trasparenza, si ritiene opportuno svolgere alcune considerazioni rispetto alla vantaggiosità della Transazione Granbio, anche nell’interesse dei creditori della Società. In particolare, attraverso la Transazione:</w:t>
      </w:r>
    </w:p>
    <w:p>
      <w:pPr>
        <w:pStyle w:val="ListParagraph"/>
        <w:numPr>
          <w:ilvl w:val="0"/>
          <w:numId w:val="26"/>
        </w:numPr>
        <w:tabs>
          <w:tab w:pos="1079" w:val="left" w:leader="none"/>
        </w:tabs>
        <w:spacing w:line="491" w:lineRule="auto" w:before="0" w:after="0"/>
        <w:ind w:left="1078" w:right="2196" w:hanging="340"/>
        <w:jc w:val="both"/>
        <w:rPr>
          <w:sz w:val="22"/>
        </w:rPr>
      </w:pPr>
      <w:r>
        <w:rPr>
          <w:w w:val="105"/>
          <w:sz w:val="22"/>
        </w:rPr>
        <w:t>Beta e Biochemtex otterrebbero la rinuncia di GranBio e Bioflex Agroindustrial,</w:t>
      </w:r>
      <w:r>
        <w:rPr>
          <w:spacing w:val="-3"/>
          <w:w w:val="105"/>
          <w:sz w:val="22"/>
        </w:rPr>
        <w:t> </w:t>
      </w:r>
      <w:r>
        <w:rPr>
          <w:i/>
          <w:w w:val="105"/>
          <w:sz w:val="22"/>
        </w:rPr>
        <w:t>inter</w:t>
      </w:r>
      <w:r>
        <w:rPr>
          <w:i/>
          <w:spacing w:val="-15"/>
          <w:w w:val="105"/>
          <w:sz w:val="22"/>
        </w:rPr>
        <w:t> </w:t>
      </w:r>
      <w:r>
        <w:rPr>
          <w:i/>
          <w:w w:val="105"/>
          <w:sz w:val="22"/>
        </w:rPr>
        <w:t>alia</w:t>
      </w:r>
      <w:r>
        <w:rPr>
          <w:w w:val="105"/>
          <w:sz w:val="22"/>
        </w:rPr>
        <w:t>,</w:t>
      </w:r>
      <w:r>
        <w:rPr>
          <w:spacing w:val="-4"/>
          <w:w w:val="105"/>
          <w:sz w:val="22"/>
        </w:rPr>
        <w:t> </w:t>
      </w:r>
      <w:r>
        <w:rPr>
          <w:w w:val="105"/>
          <w:sz w:val="22"/>
        </w:rPr>
        <w:t>all’arbitrato</w:t>
      </w:r>
      <w:r>
        <w:rPr>
          <w:spacing w:val="-5"/>
          <w:w w:val="105"/>
          <w:sz w:val="22"/>
        </w:rPr>
        <w:t> </w:t>
      </w:r>
      <w:r>
        <w:rPr>
          <w:w w:val="105"/>
          <w:sz w:val="22"/>
        </w:rPr>
        <w:t>ICC</w:t>
      </w:r>
      <w:r>
        <w:rPr>
          <w:spacing w:val="-3"/>
          <w:w w:val="105"/>
          <w:sz w:val="22"/>
        </w:rPr>
        <w:t> </w:t>
      </w:r>
      <w:r>
        <w:rPr>
          <w:w w:val="105"/>
          <w:sz w:val="22"/>
        </w:rPr>
        <w:t>in</w:t>
      </w:r>
      <w:r>
        <w:rPr>
          <w:spacing w:val="-5"/>
          <w:w w:val="105"/>
          <w:sz w:val="22"/>
        </w:rPr>
        <w:t> </w:t>
      </w:r>
      <w:r>
        <w:rPr>
          <w:w w:val="105"/>
          <w:sz w:val="22"/>
        </w:rPr>
        <w:t>UK</w:t>
      </w:r>
      <w:r>
        <w:rPr>
          <w:spacing w:val="-4"/>
          <w:w w:val="105"/>
          <w:sz w:val="22"/>
        </w:rPr>
        <w:t> </w:t>
      </w:r>
      <w:r>
        <w:rPr>
          <w:w w:val="105"/>
          <w:sz w:val="22"/>
        </w:rPr>
        <w:t>in</w:t>
      </w:r>
      <w:r>
        <w:rPr>
          <w:spacing w:val="-4"/>
          <w:w w:val="105"/>
          <w:sz w:val="22"/>
        </w:rPr>
        <w:t> </w:t>
      </w:r>
      <w:r>
        <w:rPr>
          <w:w w:val="105"/>
          <w:sz w:val="22"/>
        </w:rPr>
        <w:t>cui</w:t>
      </w:r>
      <w:r>
        <w:rPr>
          <w:spacing w:val="-4"/>
          <w:w w:val="105"/>
          <w:sz w:val="22"/>
        </w:rPr>
        <w:t> </w:t>
      </w:r>
      <w:r>
        <w:rPr>
          <w:w w:val="105"/>
          <w:sz w:val="22"/>
        </w:rPr>
        <w:t>queste</w:t>
      </w:r>
      <w:r>
        <w:rPr>
          <w:spacing w:val="-3"/>
          <w:w w:val="105"/>
          <w:sz w:val="22"/>
        </w:rPr>
        <w:t> </w:t>
      </w:r>
      <w:r>
        <w:rPr>
          <w:w w:val="105"/>
          <w:sz w:val="22"/>
        </w:rPr>
        <w:t>ultime hanno avanzato un </w:t>
      </w:r>
      <w:r>
        <w:rPr>
          <w:i/>
          <w:w w:val="105"/>
          <w:sz w:val="22"/>
        </w:rPr>
        <w:t>claim </w:t>
      </w:r>
      <w:r>
        <w:rPr>
          <w:w w:val="105"/>
          <w:sz w:val="22"/>
        </w:rPr>
        <w:t>risarcitorio di USD 85.000.000,00 azzerando</w:t>
      </w:r>
      <w:r>
        <w:rPr>
          <w:spacing w:val="-22"/>
          <w:w w:val="105"/>
          <w:sz w:val="22"/>
        </w:rPr>
        <w:t> </w:t>
      </w:r>
      <w:r>
        <w:rPr>
          <w:w w:val="105"/>
          <w:sz w:val="22"/>
        </w:rPr>
        <w:t>completamente</w:t>
      </w:r>
      <w:r>
        <w:rPr>
          <w:spacing w:val="-23"/>
          <w:w w:val="105"/>
          <w:sz w:val="22"/>
        </w:rPr>
        <w:t> </w:t>
      </w:r>
      <w:r>
        <w:rPr>
          <w:w w:val="105"/>
          <w:sz w:val="22"/>
        </w:rPr>
        <w:t>il</w:t>
      </w:r>
      <w:r>
        <w:rPr>
          <w:spacing w:val="-23"/>
          <w:w w:val="105"/>
          <w:sz w:val="22"/>
        </w:rPr>
        <w:t> </w:t>
      </w:r>
      <w:r>
        <w:rPr>
          <w:w w:val="105"/>
          <w:sz w:val="22"/>
        </w:rPr>
        <w:t>rischio</w:t>
      </w:r>
      <w:r>
        <w:rPr>
          <w:spacing w:val="-22"/>
          <w:w w:val="105"/>
          <w:sz w:val="22"/>
        </w:rPr>
        <w:t> </w:t>
      </w:r>
      <w:r>
        <w:rPr>
          <w:w w:val="105"/>
          <w:sz w:val="22"/>
        </w:rPr>
        <w:t>di</w:t>
      </w:r>
      <w:r>
        <w:rPr>
          <w:spacing w:val="-24"/>
          <w:w w:val="105"/>
          <w:sz w:val="22"/>
        </w:rPr>
        <w:t> </w:t>
      </w:r>
      <w:r>
        <w:rPr>
          <w:w w:val="105"/>
          <w:sz w:val="22"/>
        </w:rPr>
        <w:t>causa;</w:t>
      </w:r>
    </w:p>
    <w:p>
      <w:pPr>
        <w:pStyle w:val="ListParagraph"/>
        <w:numPr>
          <w:ilvl w:val="0"/>
          <w:numId w:val="26"/>
        </w:numPr>
        <w:tabs>
          <w:tab w:pos="1079" w:val="left" w:leader="none"/>
        </w:tabs>
        <w:spacing w:line="491" w:lineRule="auto" w:before="0" w:after="0"/>
        <w:ind w:left="1078" w:right="2196" w:hanging="340"/>
        <w:jc w:val="both"/>
        <w:rPr>
          <w:sz w:val="22"/>
        </w:rPr>
      </w:pPr>
      <w:r>
        <w:rPr>
          <w:w w:val="105"/>
          <w:sz w:val="22"/>
        </w:rPr>
        <w:t>M&amp;G Finanziaria otterrebbe la rinuncia da parte delle società brasiliane</w:t>
      </w:r>
      <w:r>
        <w:rPr>
          <w:spacing w:val="-11"/>
          <w:w w:val="105"/>
          <w:sz w:val="22"/>
        </w:rPr>
        <w:t> </w:t>
      </w:r>
      <w:r>
        <w:rPr>
          <w:w w:val="105"/>
          <w:sz w:val="22"/>
        </w:rPr>
        <w:t>alle</w:t>
      </w:r>
      <w:r>
        <w:rPr>
          <w:spacing w:val="-10"/>
          <w:w w:val="105"/>
          <w:sz w:val="22"/>
        </w:rPr>
        <w:t> </w:t>
      </w:r>
      <w:r>
        <w:rPr>
          <w:w w:val="105"/>
          <w:sz w:val="22"/>
        </w:rPr>
        <w:t>domande</w:t>
      </w:r>
      <w:r>
        <w:rPr>
          <w:spacing w:val="-11"/>
          <w:w w:val="105"/>
          <w:sz w:val="22"/>
        </w:rPr>
        <w:t> </w:t>
      </w:r>
      <w:r>
        <w:rPr>
          <w:w w:val="105"/>
          <w:sz w:val="22"/>
        </w:rPr>
        <w:t>svolte</w:t>
      </w:r>
      <w:r>
        <w:rPr>
          <w:spacing w:val="-10"/>
          <w:w w:val="105"/>
          <w:sz w:val="22"/>
        </w:rPr>
        <w:t> </w:t>
      </w:r>
      <w:r>
        <w:rPr>
          <w:w w:val="105"/>
          <w:sz w:val="22"/>
        </w:rPr>
        <w:t>nel</w:t>
      </w:r>
      <w:r>
        <w:rPr>
          <w:spacing w:val="-10"/>
          <w:w w:val="105"/>
          <w:sz w:val="22"/>
        </w:rPr>
        <w:t> </w:t>
      </w:r>
      <w:r>
        <w:rPr>
          <w:w w:val="105"/>
          <w:sz w:val="22"/>
        </w:rPr>
        <w:t>corso</w:t>
      </w:r>
      <w:r>
        <w:rPr>
          <w:spacing w:val="-10"/>
          <w:w w:val="105"/>
          <w:sz w:val="22"/>
        </w:rPr>
        <w:t> </w:t>
      </w:r>
      <w:r>
        <w:rPr>
          <w:w w:val="105"/>
          <w:sz w:val="22"/>
        </w:rPr>
        <w:t>del</w:t>
      </w:r>
      <w:r>
        <w:rPr>
          <w:spacing w:val="-10"/>
          <w:w w:val="105"/>
          <w:sz w:val="22"/>
        </w:rPr>
        <w:t> </w:t>
      </w:r>
      <w:r>
        <w:rPr>
          <w:w w:val="105"/>
          <w:sz w:val="22"/>
        </w:rPr>
        <w:t>procedimento</w:t>
      </w:r>
      <w:r>
        <w:rPr>
          <w:spacing w:val="-10"/>
          <w:w w:val="105"/>
          <w:sz w:val="22"/>
        </w:rPr>
        <w:t> </w:t>
      </w:r>
      <w:r>
        <w:rPr>
          <w:w w:val="105"/>
          <w:sz w:val="22"/>
        </w:rPr>
        <w:t>brasiliano azzerando</w:t>
      </w:r>
      <w:r>
        <w:rPr>
          <w:spacing w:val="-22"/>
          <w:w w:val="105"/>
          <w:sz w:val="22"/>
        </w:rPr>
        <w:t> </w:t>
      </w:r>
      <w:r>
        <w:rPr>
          <w:w w:val="105"/>
          <w:sz w:val="22"/>
        </w:rPr>
        <w:t>completamente</w:t>
      </w:r>
      <w:r>
        <w:rPr>
          <w:spacing w:val="-23"/>
          <w:w w:val="105"/>
          <w:sz w:val="22"/>
        </w:rPr>
        <w:t> </w:t>
      </w:r>
      <w:r>
        <w:rPr>
          <w:w w:val="105"/>
          <w:sz w:val="22"/>
        </w:rPr>
        <w:t>il</w:t>
      </w:r>
      <w:r>
        <w:rPr>
          <w:spacing w:val="-23"/>
          <w:w w:val="105"/>
          <w:sz w:val="22"/>
        </w:rPr>
        <w:t> </w:t>
      </w:r>
      <w:r>
        <w:rPr>
          <w:w w:val="105"/>
          <w:sz w:val="22"/>
        </w:rPr>
        <w:t>rischio</w:t>
      </w:r>
      <w:r>
        <w:rPr>
          <w:spacing w:val="-23"/>
          <w:w w:val="105"/>
          <w:sz w:val="22"/>
        </w:rPr>
        <w:t> </w:t>
      </w:r>
      <w:r>
        <w:rPr>
          <w:w w:val="105"/>
          <w:sz w:val="22"/>
        </w:rPr>
        <w:t>di</w:t>
      </w:r>
      <w:r>
        <w:rPr>
          <w:spacing w:val="-24"/>
          <w:w w:val="105"/>
          <w:sz w:val="22"/>
        </w:rPr>
        <w:t> </w:t>
      </w:r>
      <w:r>
        <w:rPr>
          <w:w w:val="105"/>
          <w:sz w:val="22"/>
        </w:rPr>
        <w:t>causa;</w:t>
      </w:r>
    </w:p>
    <w:p>
      <w:pPr>
        <w:pStyle w:val="ListParagraph"/>
        <w:numPr>
          <w:ilvl w:val="0"/>
          <w:numId w:val="26"/>
        </w:numPr>
        <w:tabs>
          <w:tab w:pos="1079" w:val="left" w:leader="none"/>
        </w:tabs>
        <w:spacing w:line="491" w:lineRule="auto" w:before="0" w:after="0"/>
        <w:ind w:left="1078" w:right="2194" w:hanging="340"/>
        <w:jc w:val="both"/>
        <w:rPr>
          <w:sz w:val="22"/>
        </w:rPr>
      </w:pPr>
      <w:r>
        <w:rPr>
          <w:w w:val="105"/>
          <w:sz w:val="22"/>
        </w:rPr>
        <w:t>Beta, Biochemtex e M&amp;G Finanziaria metterebbero fine a ogni controversia con gli assicuratori in relazione ad ogni controversia relativa all’ampiezza della copertura assicurativa, azzerando quindi il rischio</w:t>
      </w:r>
      <w:r>
        <w:rPr>
          <w:spacing w:val="-6"/>
          <w:w w:val="105"/>
          <w:sz w:val="22"/>
        </w:rPr>
        <w:t> </w:t>
      </w:r>
      <w:r>
        <w:rPr>
          <w:w w:val="105"/>
          <w:sz w:val="22"/>
        </w:rPr>
        <w:t>consistente</w:t>
      </w:r>
      <w:r>
        <w:rPr>
          <w:spacing w:val="-7"/>
          <w:w w:val="105"/>
          <w:sz w:val="22"/>
        </w:rPr>
        <w:t> </w:t>
      </w:r>
      <w:r>
        <w:rPr>
          <w:w w:val="105"/>
          <w:sz w:val="22"/>
        </w:rPr>
        <w:t>nel</w:t>
      </w:r>
      <w:r>
        <w:rPr>
          <w:spacing w:val="-7"/>
          <w:w w:val="105"/>
          <w:sz w:val="22"/>
        </w:rPr>
        <w:t> </w:t>
      </w:r>
      <w:r>
        <w:rPr>
          <w:w w:val="105"/>
          <w:sz w:val="22"/>
        </w:rPr>
        <w:t>possibile</w:t>
      </w:r>
      <w:r>
        <w:rPr>
          <w:spacing w:val="-7"/>
          <w:w w:val="105"/>
          <w:sz w:val="22"/>
        </w:rPr>
        <w:t> </w:t>
      </w:r>
      <w:r>
        <w:rPr>
          <w:w w:val="105"/>
          <w:sz w:val="22"/>
        </w:rPr>
        <w:t>rifiuto</w:t>
      </w:r>
      <w:r>
        <w:rPr>
          <w:spacing w:val="-6"/>
          <w:w w:val="105"/>
          <w:sz w:val="22"/>
        </w:rPr>
        <w:t> </w:t>
      </w:r>
      <w:r>
        <w:rPr>
          <w:w w:val="105"/>
          <w:sz w:val="22"/>
        </w:rPr>
        <w:t>delle</w:t>
      </w:r>
      <w:r>
        <w:rPr>
          <w:spacing w:val="-7"/>
          <w:w w:val="105"/>
          <w:sz w:val="22"/>
        </w:rPr>
        <w:t> </w:t>
      </w:r>
      <w:r>
        <w:rPr>
          <w:w w:val="105"/>
          <w:sz w:val="22"/>
        </w:rPr>
        <w:t>assicurazioni</w:t>
      </w:r>
      <w:r>
        <w:rPr>
          <w:spacing w:val="-6"/>
          <w:w w:val="105"/>
          <w:sz w:val="22"/>
        </w:rPr>
        <w:t> </w:t>
      </w:r>
      <w:r>
        <w:rPr>
          <w:w w:val="105"/>
          <w:sz w:val="22"/>
        </w:rPr>
        <w:t>di</w:t>
      </w:r>
      <w:r>
        <w:rPr>
          <w:spacing w:val="-7"/>
          <w:w w:val="105"/>
          <w:sz w:val="22"/>
        </w:rPr>
        <w:t> </w:t>
      </w:r>
      <w:r>
        <w:rPr>
          <w:w w:val="105"/>
          <w:sz w:val="22"/>
        </w:rPr>
        <w:t>pagare</w:t>
      </w:r>
      <w:r>
        <w:rPr>
          <w:spacing w:val="-7"/>
          <w:w w:val="105"/>
          <w:sz w:val="22"/>
        </w:rPr>
        <w:t> </w:t>
      </w:r>
      <w:r>
        <w:rPr>
          <w:w w:val="105"/>
          <w:sz w:val="22"/>
        </w:rPr>
        <w:t>i danni</w:t>
      </w:r>
      <w:r>
        <w:rPr>
          <w:spacing w:val="-22"/>
          <w:w w:val="105"/>
          <w:sz w:val="22"/>
        </w:rPr>
        <w:t> </w:t>
      </w:r>
      <w:r>
        <w:rPr>
          <w:w w:val="105"/>
          <w:sz w:val="22"/>
        </w:rPr>
        <w:t>lamentati</w:t>
      </w:r>
      <w:r>
        <w:rPr>
          <w:spacing w:val="-22"/>
          <w:w w:val="105"/>
          <w:sz w:val="22"/>
        </w:rPr>
        <w:t> </w:t>
      </w:r>
      <w:r>
        <w:rPr>
          <w:w w:val="105"/>
          <w:sz w:val="22"/>
        </w:rPr>
        <w:t>da</w:t>
      </w:r>
      <w:r>
        <w:rPr>
          <w:spacing w:val="-22"/>
          <w:w w:val="105"/>
          <w:sz w:val="22"/>
        </w:rPr>
        <w:t> </w:t>
      </w:r>
      <w:r>
        <w:rPr>
          <w:w w:val="105"/>
          <w:sz w:val="22"/>
        </w:rPr>
        <w:t>GranBio</w:t>
      </w:r>
      <w:r>
        <w:rPr>
          <w:spacing w:val="-22"/>
          <w:w w:val="105"/>
          <w:sz w:val="22"/>
        </w:rPr>
        <w:t> </w:t>
      </w:r>
      <w:r>
        <w:rPr>
          <w:w w:val="105"/>
          <w:sz w:val="22"/>
        </w:rPr>
        <w:t>e</w:t>
      </w:r>
      <w:r>
        <w:rPr>
          <w:spacing w:val="-22"/>
          <w:w w:val="105"/>
          <w:sz w:val="22"/>
        </w:rPr>
        <w:t> </w:t>
      </w:r>
      <w:r>
        <w:rPr>
          <w:w w:val="105"/>
          <w:sz w:val="22"/>
        </w:rPr>
        <w:t>Bioflex</w:t>
      </w:r>
      <w:r>
        <w:rPr>
          <w:spacing w:val="-22"/>
          <w:w w:val="105"/>
          <w:sz w:val="22"/>
        </w:rPr>
        <w:t> </w:t>
      </w:r>
      <w:r>
        <w:rPr>
          <w:w w:val="105"/>
          <w:sz w:val="22"/>
        </w:rPr>
        <w:t>Agroindustrial;</w:t>
      </w:r>
    </w:p>
    <w:p>
      <w:pPr>
        <w:pStyle w:val="ListParagraph"/>
        <w:numPr>
          <w:ilvl w:val="0"/>
          <w:numId w:val="26"/>
        </w:numPr>
        <w:tabs>
          <w:tab w:pos="1079" w:val="left" w:leader="none"/>
        </w:tabs>
        <w:spacing w:line="491" w:lineRule="auto" w:before="0" w:after="0"/>
        <w:ind w:left="1078" w:right="2196" w:hanging="340"/>
        <w:jc w:val="both"/>
        <w:rPr>
          <w:sz w:val="22"/>
        </w:rPr>
      </w:pPr>
      <w:r>
        <w:rPr>
          <w:w w:val="105"/>
          <w:sz w:val="22"/>
        </w:rPr>
        <w:t>Beta,</w:t>
      </w:r>
      <w:r>
        <w:rPr>
          <w:spacing w:val="-13"/>
          <w:w w:val="105"/>
          <w:sz w:val="22"/>
        </w:rPr>
        <w:t> </w:t>
      </w:r>
      <w:r>
        <w:rPr>
          <w:w w:val="105"/>
          <w:sz w:val="22"/>
        </w:rPr>
        <w:t>nell’ambito</w:t>
      </w:r>
      <w:r>
        <w:rPr>
          <w:spacing w:val="-11"/>
          <w:w w:val="105"/>
          <w:sz w:val="22"/>
        </w:rPr>
        <w:t> </w:t>
      </w:r>
      <w:r>
        <w:rPr>
          <w:w w:val="105"/>
          <w:sz w:val="22"/>
        </w:rPr>
        <w:t>del</w:t>
      </w:r>
      <w:r>
        <w:rPr>
          <w:spacing w:val="-12"/>
          <w:w w:val="105"/>
          <w:sz w:val="22"/>
        </w:rPr>
        <w:t> </w:t>
      </w:r>
      <w:r>
        <w:rPr>
          <w:w w:val="105"/>
          <w:sz w:val="22"/>
        </w:rPr>
        <w:t>primo</w:t>
      </w:r>
      <w:r>
        <w:rPr>
          <w:spacing w:val="-12"/>
          <w:w w:val="105"/>
          <w:sz w:val="22"/>
        </w:rPr>
        <w:t> </w:t>
      </w:r>
      <w:r>
        <w:rPr>
          <w:w w:val="105"/>
          <w:sz w:val="22"/>
        </w:rPr>
        <w:t>accordo</w:t>
      </w:r>
      <w:r>
        <w:rPr>
          <w:spacing w:val="-11"/>
          <w:w w:val="105"/>
          <w:sz w:val="22"/>
        </w:rPr>
        <w:t> </w:t>
      </w:r>
      <w:r>
        <w:rPr>
          <w:w w:val="105"/>
          <w:sz w:val="22"/>
        </w:rPr>
        <w:t>di</w:t>
      </w:r>
      <w:r>
        <w:rPr>
          <w:spacing w:val="-12"/>
          <w:w w:val="105"/>
          <w:sz w:val="22"/>
        </w:rPr>
        <w:t> </w:t>
      </w:r>
      <w:r>
        <w:rPr>
          <w:w w:val="105"/>
          <w:sz w:val="22"/>
        </w:rPr>
        <w:t>licenza</w:t>
      </w:r>
      <w:r>
        <w:rPr>
          <w:spacing w:val="-12"/>
          <w:w w:val="105"/>
          <w:sz w:val="22"/>
        </w:rPr>
        <w:t> </w:t>
      </w:r>
      <w:r>
        <w:rPr>
          <w:w w:val="105"/>
          <w:sz w:val="22"/>
        </w:rPr>
        <w:t>con</w:t>
      </w:r>
      <w:r>
        <w:rPr>
          <w:spacing w:val="-12"/>
          <w:w w:val="105"/>
          <w:sz w:val="22"/>
        </w:rPr>
        <w:t> </w:t>
      </w:r>
      <w:r>
        <w:rPr>
          <w:w w:val="105"/>
          <w:sz w:val="22"/>
        </w:rPr>
        <w:t>GranBio</w:t>
      </w:r>
      <w:r>
        <w:rPr>
          <w:spacing w:val="-12"/>
          <w:w w:val="105"/>
          <w:sz w:val="22"/>
        </w:rPr>
        <w:t> </w:t>
      </w:r>
      <w:r>
        <w:rPr>
          <w:w w:val="105"/>
          <w:sz w:val="22"/>
        </w:rPr>
        <w:t>(oggetto di modifica nell’ambito della Transazione), cesserebbe di concedere determinate</w:t>
      </w:r>
      <w:r>
        <w:rPr>
          <w:spacing w:val="-20"/>
          <w:w w:val="105"/>
          <w:sz w:val="22"/>
        </w:rPr>
        <w:t> </w:t>
      </w:r>
      <w:r>
        <w:rPr>
          <w:w w:val="105"/>
          <w:sz w:val="22"/>
        </w:rPr>
        <w:t>garanzie</w:t>
      </w:r>
      <w:r>
        <w:rPr>
          <w:spacing w:val="-20"/>
          <w:w w:val="105"/>
          <w:sz w:val="22"/>
        </w:rPr>
        <w:t> </w:t>
      </w:r>
      <w:r>
        <w:rPr>
          <w:w w:val="105"/>
          <w:sz w:val="22"/>
        </w:rPr>
        <w:t>a</w:t>
      </w:r>
      <w:r>
        <w:rPr>
          <w:spacing w:val="-21"/>
          <w:w w:val="105"/>
          <w:sz w:val="22"/>
        </w:rPr>
        <w:t> </w:t>
      </w:r>
      <w:r>
        <w:rPr>
          <w:w w:val="105"/>
          <w:sz w:val="22"/>
        </w:rPr>
        <w:t>GranBio</w:t>
      </w:r>
      <w:r>
        <w:rPr>
          <w:spacing w:val="-22"/>
          <w:w w:val="105"/>
          <w:sz w:val="22"/>
        </w:rPr>
        <w:t> </w:t>
      </w:r>
      <w:r>
        <w:rPr>
          <w:w w:val="105"/>
          <w:sz w:val="22"/>
        </w:rPr>
        <w:t>circa</w:t>
      </w:r>
      <w:r>
        <w:rPr>
          <w:spacing w:val="-22"/>
          <w:w w:val="105"/>
          <w:sz w:val="22"/>
        </w:rPr>
        <w:t> </w:t>
      </w:r>
      <w:r>
        <w:rPr>
          <w:w w:val="105"/>
          <w:sz w:val="22"/>
        </w:rPr>
        <w:t>la</w:t>
      </w:r>
      <w:r>
        <w:rPr>
          <w:spacing w:val="-20"/>
          <w:w w:val="105"/>
          <w:sz w:val="22"/>
        </w:rPr>
        <w:t> </w:t>
      </w:r>
      <w:r>
        <w:rPr>
          <w:w w:val="105"/>
          <w:sz w:val="22"/>
        </w:rPr>
        <w:t>tecnologia</w:t>
      </w:r>
      <w:r>
        <w:rPr>
          <w:spacing w:val="-22"/>
          <w:w w:val="105"/>
          <w:sz w:val="22"/>
        </w:rPr>
        <w:t> </w:t>
      </w:r>
      <w:r>
        <w:rPr>
          <w:w w:val="105"/>
          <w:sz w:val="22"/>
        </w:rPr>
        <w:t>Proesa;</w:t>
      </w:r>
    </w:p>
    <w:p>
      <w:pPr>
        <w:pStyle w:val="ListParagraph"/>
        <w:numPr>
          <w:ilvl w:val="0"/>
          <w:numId w:val="26"/>
        </w:numPr>
        <w:tabs>
          <w:tab w:pos="1079" w:val="left" w:leader="none"/>
        </w:tabs>
        <w:spacing w:line="491" w:lineRule="auto" w:before="0" w:after="0"/>
        <w:ind w:left="1078" w:right="2195" w:hanging="340"/>
        <w:jc w:val="both"/>
        <w:rPr>
          <w:sz w:val="22"/>
        </w:rPr>
      </w:pPr>
      <w:r>
        <w:rPr>
          <w:w w:val="105"/>
          <w:sz w:val="22"/>
        </w:rPr>
        <w:t>Beta, Biochemtex e M&amp;G Finanziaria otterrebbero i vantaggi di cui ai precedenti punti 1., 2., 3. e 4. senza aggravare il loro passivo e/o assumere obbligazioni di pagamento, posto che il pagamento a favore di GranBio e Bioflex Agroindustrial verrebbe effettuato  </w:t>
      </w:r>
      <w:r>
        <w:rPr>
          <w:spacing w:val="37"/>
          <w:w w:val="105"/>
          <w:sz w:val="22"/>
        </w:rPr>
        <w:t> </w:t>
      </w:r>
      <w:r>
        <w:rPr>
          <w:w w:val="105"/>
          <w:sz w:val="22"/>
        </w:rPr>
        <w:t>da</w:t>
      </w:r>
    </w:p>
    <w:p>
      <w:pPr>
        <w:spacing w:after="0" w:line="491" w:lineRule="auto"/>
        <w:jc w:val="both"/>
        <w:rPr>
          <w:sz w:val="22"/>
        </w:rPr>
        <w:sectPr>
          <w:pgSz w:w="12240" w:h="15840"/>
          <w:pgMar w:header="0" w:footer="790" w:top="1500" w:bottom="980" w:left="1720" w:right="1200"/>
        </w:sectPr>
      </w:pPr>
    </w:p>
    <w:p>
      <w:pPr>
        <w:pStyle w:val="BodyText"/>
        <w:spacing w:line="491" w:lineRule="auto" w:before="105"/>
        <w:ind w:left="1078" w:right="2200"/>
      </w:pPr>
      <w:r>
        <w:rPr>
          <w:w w:val="105"/>
        </w:rPr>
        <w:t>parte delle assicurazioni. Il tutto con l’effetto di non esporre le ragioni dei creditori sociali ad alcun pregiudizio.</w:t>
      </w:r>
    </w:p>
    <w:p>
      <w:pPr>
        <w:pStyle w:val="BodyText"/>
        <w:spacing w:line="491" w:lineRule="auto" w:before="1"/>
        <w:ind w:left="400" w:right="2196"/>
        <w:jc w:val="both"/>
      </w:pPr>
      <w:r>
        <w:rPr>
          <w:w w:val="105"/>
        </w:rPr>
        <w:t>Si precisa, da ultimo, che M&amp;G Finanziaria non sottoscrive la Transazione GranBio,</w:t>
      </w:r>
      <w:r>
        <w:rPr>
          <w:spacing w:val="-14"/>
          <w:w w:val="105"/>
        </w:rPr>
        <w:t> </w:t>
      </w:r>
      <w:r>
        <w:rPr>
          <w:w w:val="105"/>
        </w:rPr>
        <w:t>essendo</w:t>
      </w:r>
      <w:r>
        <w:rPr>
          <w:spacing w:val="-14"/>
          <w:w w:val="105"/>
        </w:rPr>
        <w:t> </w:t>
      </w:r>
      <w:r>
        <w:rPr>
          <w:w w:val="105"/>
        </w:rPr>
        <w:t>unicamente</w:t>
      </w:r>
      <w:r>
        <w:rPr>
          <w:spacing w:val="-14"/>
          <w:w w:val="105"/>
        </w:rPr>
        <w:t> </w:t>
      </w:r>
      <w:r>
        <w:rPr>
          <w:w w:val="105"/>
        </w:rPr>
        <w:t>beneficiaria</w:t>
      </w:r>
      <w:r>
        <w:rPr>
          <w:spacing w:val="-13"/>
          <w:w w:val="105"/>
        </w:rPr>
        <w:t> </w:t>
      </w:r>
      <w:r>
        <w:rPr>
          <w:w w:val="105"/>
        </w:rPr>
        <w:t>e</w:t>
      </w:r>
      <w:r>
        <w:rPr>
          <w:spacing w:val="-13"/>
          <w:w w:val="105"/>
        </w:rPr>
        <w:t> </w:t>
      </w:r>
      <w:r>
        <w:rPr>
          <w:w w:val="105"/>
        </w:rPr>
        <w:t>non</w:t>
      </w:r>
      <w:r>
        <w:rPr>
          <w:spacing w:val="-13"/>
          <w:w w:val="105"/>
        </w:rPr>
        <w:t> </w:t>
      </w:r>
      <w:r>
        <w:rPr>
          <w:w w:val="105"/>
        </w:rPr>
        <w:t>assumendo</w:t>
      </w:r>
      <w:r>
        <w:rPr>
          <w:spacing w:val="-12"/>
          <w:w w:val="105"/>
        </w:rPr>
        <w:t> </w:t>
      </w:r>
      <w:r>
        <w:rPr>
          <w:w w:val="105"/>
        </w:rPr>
        <w:t>in</w:t>
      </w:r>
      <w:r>
        <w:rPr>
          <w:spacing w:val="-13"/>
          <w:w w:val="105"/>
        </w:rPr>
        <w:t> </w:t>
      </w:r>
      <w:r>
        <w:rPr>
          <w:w w:val="105"/>
        </w:rPr>
        <w:t>rapporto</w:t>
      </w:r>
      <w:r>
        <w:rPr>
          <w:spacing w:val="-12"/>
          <w:w w:val="105"/>
        </w:rPr>
        <w:t> </w:t>
      </w:r>
      <w:r>
        <w:rPr>
          <w:w w:val="105"/>
        </w:rPr>
        <w:t>alla stessa</w:t>
      </w:r>
      <w:r>
        <w:rPr>
          <w:spacing w:val="-38"/>
          <w:w w:val="105"/>
        </w:rPr>
        <w:t> </w:t>
      </w:r>
      <w:r>
        <w:rPr>
          <w:w w:val="105"/>
        </w:rPr>
        <w:t>alcuna</w:t>
      </w:r>
      <w:r>
        <w:rPr>
          <w:spacing w:val="-37"/>
          <w:w w:val="105"/>
        </w:rPr>
        <w:t> </w:t>
      </w:r>
      <w:r>
        <w:rPr>
          <w:w w:val="105"/>
        </w:rPr>
        <w:t>obbligazione.</w:t>
      </w:r>
    </w:p>
    <w:p>
      <w:pPr>
        <w:pStyle w:val="BodyText"/>
        <w:spacing w:before="1"/>
        <w:ind w:left="476" w:right="2220"/>
        <w:jc w:val="center"/>
      </w:pPr>
      <w:r>
        <w:rPr>
          <w:w w:val="105"/>
        </w:rPr>
        <w:t>* * *</w:t>
      </w:r>
    </w:p>
    <w:p>
      <w:pPr>
        <w:pStyle w:val="BodyText"/>
        <w:spacing w:before="6"/>
        <w:rPr>
          <w:sz w:val="21"/>
        </w:rPr>
      </w:pPr>
    </w:p>
    <w:p>
      <w:pPr>
        <w:pStyle w:val="Heading2"/>
        <w:numPr>
          <w:ilvl w:val="1"/>
          <w:numId w:val="18"/>
        </w:numPr>
        <w:tabs>
          <w:tab w:pos="1067" w:val="left" w:leader="none"/>
        </w:tabs>
        <w:spacing w:line="240" w:lineRule="auto" w:before="0" w:after="0"/>
        <w:ind w:left="1066" w:right="0" w:hanging="666"/>
        <w:jc w:val="both"/>
      </w:pPr>
      <w:bookmarkStart w:name="_TOC_250018" w:id="34"/>
      <w:r>
        <w:rPr>
          <w:i/>
          <w:sz w:val="24"/>
          <w:u w:val="single"/>
        </w:rPr>
        <w:t>Segue</w:t>
      </w:r>
      <w:r>
        <w:rPr>
          <w:u w:val="single"/>
        </w:rPr>
        <w:t>: la Postergazione</w:t>
      </w:r>
      <w:r>
        <w:rPr>
          <w:spacing w:val="22"/>
          <w:u w:val="single"/>
        </w:rPr>
        <w:t> </w:t>
      </w:r>
      <w:bookmarkEnd w:id="34"/>
      <w:r>
        <w:rPr>
          <w:u w:val="single"/>
        </w:rPr>
        <w:t>Novozymes</w:t>
      </w:r>
    </w:p>
    <w:p>
      <w:pPr>
        <w:pStyle w:val="BodyText"/>
        <w:spacing w:before="8"/>
        <w:rPr>
          <w:b/>
        </w:rPr>
      </w:pPr>
    </w:p>
    <w:p>
      <w:pPr>
        <w:pStyle w:val="BodyText"/>
        <w:spacing w:line="491" w:lineRule="auto"/>
        <w:ind w:left="400" w:right="2142"/>
        <w:jc w:val="both"/>
      </w:pPr>
      <w:r>
        <w:rPr>
          <w:w w:val="105"/>
        </w:rPr>
        <w:t>Con la lettera di impegno, sotto condizione dell’omologa provvisoriamente esecutiva del Piano di Concordato e della Proposta di Concordato, Novozymes ha dichiarato di:</w:t>
      </w:r>
    </w:p>
    <w:p>
      <w:pPr>
        <w:pStyle w:val="ListParagraph"/>
        <w:numPr>
          <w:ilvl w:val="0"/>
          <w:numId w:val="27"/>
        </w:numPr>
        <w:tabs>
          <w:tab w:pos="1200" w:val="left" w:leader="none"/>
          <w:tab w:pos="1201" w:val="left" w:leader="none"/>
        </w:tabs>
        <w:spacing w:line="254" w:lineRule="exact" w:before="0" w:after="0"/>
        <w:ind w:left="1200" w:right="0" w:hanging="756"/>
        <w:jc w:val="left"/>
        <w:rPr>
          <w:sz w:val="22"/>
        </w:rPr>
      </w:pPr>
      <w:r>
        <w:rPr>
          <w:w w:val="105"/>
          <w:sz w:val="22"/>
        </w:rPr>
        <w:t>accettare la postergazione del pagamento del proprio Credito   </w:t>
      </w:r>
      <w:r>
        <w:rPr>
          <w:spacing w:val="36"/>
          <w:w w:val="105"/>
          <w:sz w:val="22"/>
        </w:rPr>
        <w:t> </w:t>
      </w:r>
      <w:r>
        <w:rPr>
          <w:w w:val="105"/>
          <w:sz w:val="22"/>
        </w:rPr>
        <w:t>(a)</w:t>
      </w:r>
    </w:p>
    <w:p>
      <w:pPr>
        <w:pStyle w:val="BodyText"/>
        <w:spacing w:before="7"/>
      </w:pPr>
    </w:p>
    <w:p>
      <w:pPr>
        <w:pStyle w:val="BodyText"/>
        <w:spacing w:line="491" w:lineRule="auto" w:before="1"/>
        <w:ind w:left="1200" w:right="2140"/>
        <w:jc w:val="both"/>
      </w:pPr>
      <w:r>
        <w:rPr>
          <w:w w:val="105"/>
        </w:rPr>
        <w:t>all’integrale</w:t>
      </w:r>
      <w:r>
        <w:rPr>
          <w:spacing w:val="-21"/>
          <w:w w:val="105"/>
        </w:rPr>
        <w:t> </w:t>
      </w:r>
      <w:r>
        <w:rPr>
          <w:w w:val="105"/>
        </w:rPr>
        <w:t>soddisfacimento</w:t>
      </w:r>
      <w:r>
        <w:rPr>
          <w:spacing w:val="-20"/>
          <w:w w:val="105"/>
        </w:rPr>
        <w:t> </w:t>
      </w:r>
      <w:r>
        <w:rPr>
          <w:w w:val="105"/>
        </w:rPr>
        <w:t>dei</w:t>
      </w:r>
      <w:r>
        <w:rPr>
          <w:spacing w:val="-20"/>
          <w:w w:val="105"/>
        </w:rPr>
        <w:t> </w:t>
      </w:r>
      <w:r>
        <w:rPr>
          <w:w w:val="105"/>
        </w:rPr>
        <w:t>creditori</w:t>
      </w:r>
      <w:r>
        <w:rPr>
          <w:spacing w:val="-20"/>
          <w:w w:val="105"/>
        </w:rPr>
        <w:t> </w:t>
      </w:r>
      <w:r>
        <w:rPr>
          <w:w w:val="105"/>
        </w:rPr>
        <w:t>prededucibili</w:t>
      </w:r>
      <w:r>
        <w:rPr>
          <w:spacing w:val="-20"/>
          <w:w w:val="105"/>
        </w:rPr>
        <w:t> </w:t>
      </w:r>
      <w:r>
        <w:rPr>
          <w:w w:val="105"/>
        </w:rPr>
        <w:t>e</w:t>
      </w:r>
      <w:r>
        <w:rPr>
          <w:spacing w:val="-20"/>
          <w:w w:val="105"/>
        </w:rPr>
        <w:t> </w:t>
      </w:r>
      <w:r>
        <w:rPr>
          <w:w w:val="105"/>
        </w:rPr>
        <w:t>privilegiati; e (b) al pagamento sino al 20% delle rispettive ragioni degli altri creditori chirografari di cui al Concordato Preventivo. Resta pertanto inteso che, una volta soddisfatti integralmente i creditori prededucibili e privilegiati ed al 20% i creditori chirografari, ogni risorsa finanziaria disponibile della Società (incluse quelle derivanti dalla</w:t>
      </w:r>
      <w:r>
        <w:rPr>
          <w:spacing w:val="-5"/>
          <w:w w:val="105"/>
        </w:rPr>
        <w:t> </w:t>
      </w:r>
      <w:r>
        <w:rPr>
          <w:w w:val="105"/>
        </w:rPr>
        <w:t>liberazione</w:t>
      </w:r>
      <w:r>
        <w:rPr>
          <w:spacing w:val="-5"/>
          <w:w w:val="105"/>
        </w:rPr>
        <w:t> </w:t>
      </w:r>
      <w:r>
        <w:rPr>
          <w:w w:val="105"/>
        </w:rPr>
        <w:t>dei</w:t>
      </w:r>
      <w:r>
        <w:rPr>
          <w:spacing w:val="-5"/>
          <w:w w:val="105"/>
        </w:rPr>
        <w:t> </w:t>
      </w:r>
      <w:r>
        <w:rPr>
          <w:w w:val="105"/>
        </w:rPr>
        <w:t>fondi</w:t>
      </w:r>
      <w:r>
        <w:rPr>
          <w:spacing w:val="-5"/>
          <w:w w:val="105"/>
        </w:rPr>
        <w:t> </w:t>
      </w:r>
      <w:r>
        <w:rPr>
          <w:w w:val="105"/>
        </w:rPr>
        <w:t>rischi</w:t>
      </w:r>
      <w:r>
        <w:rPr>
          <w:spacing w:val="-5"/>
          <w:w w:val="105"/>
        </w:rPr>
        <w:t> </w:t>
      </w:r>
      <w:r>
        <w:rPr>
          <w:w w:val="105"/>
        </w:rPr>
        <w:t>e/o</w:t>
      </w:r>
      <w:r>
        <w:rPr>
          <w:spacing w:val="-6"/>
          <w:w w:val="105"/>
        </w:rPr>
        <w:t> </w:t>
      </w:r>
      <w:r>
        <w:rPr>
          <w:w w:val="105"/>
        </w:rPr>
        <w:t>da</w:t>
      </w:r>
      <w:r>
        <w:rPr>
          <w:spacing w:val="-5"/>
          <w:w w:val="105"/>
        </w:rPr>
        <w:t> </w:t>
      </w:r>
      <w:r>
        <w:rPr>
          <w:w w:val="105"/>
        </w:rPr>
        <w:t>altre</w:t>
      </w:r>
      <w:r>
        <w:rPr>
          <w:spacing w:val="-5"/>
          <w:w w:val="105"/>
        </w:rPr>
        <w:t> </w:t>
      </w:r>
      <w:r>
        <w:rPr>
          <w:w w:val="105"/>
        </w:rPr>
        <w:t>sopravvenienze</w:t>
      </w:r>
      <w:r>
        <w:rPr>
          <w:spacing w:val="-5"/>
          <w:w w:val="105"/>
        </w:rPr>
        <w:t> </w:t>
      </w:r>
      <w:r>
        <w:rPr>
          <w:w w:val="105"/>
        </w:rPr>
        <w:t>attive) verrà destinata alla soddisfazione del Credito sino al 20% dello stesso e, successivamente, alla soddisfazione pro-quota e proporzionale</w:t>
      </w:r>
      <w:r>
        <w:rPr>
          <w:spacing w:val="-22"/>
          <w:w w:val="105"/>
        </w:rPr>
        <w:t> </w:t>
      </w:r>
      <w:r>
        <w:rPr>
          <w:w w:val="105"/>
        </w:rPr>
        <w:t>di</w:t>
      </w:r>
      <w:r>
        <w:rPr>
          <w:spacing w:val="-23"/>
          <w:w w:val="105"/>
        </w:rPr>
        <w:t> </w:t>
      </w:r>
      <w:r>
        <w:rPr>
          <w:w w:val="105"/>
        </w:rPr>
        <w:t>tutti</w:t>
      </w:r>
      <w:r>
        <w:rPr>
          <w:spacing w:val="-22"/>
          <w:w w:val="105"/>
        </w:rPr>
        <w:t> </w:t>
      </w:r>
      <w:r>
        <w:rPr>
          <w:w w:val="105"/>
        </w:rPr>
        <w:t>i</w:t>
      </w:r>
      <w:r>
        <w:rPr>
          <w:spacing w:val="-23"/>
          <w:w w:val="105"/>
        </w:rPr>
        <w:t> </w:t>
      </w:r>
      <w:r>
        <w:rPr>
          <w:w w:val="105"/>
        </w:rPr>
        <w:t>creditori</w:t>
      </w:r>
      <w:r>
        <w:rPr>
          <w:spacing w:val="-24"/>
          <w:w w:val="105"/>
        </w:rPr>
        <w:t> </w:t>
      </w:r>
      <w:r>
        <w:rPr>
          <w:w w:val="105"/>
        </w:rPr>
        <w:t>chirografari;</w:t>
      </w:r>
    </w:p>
    <w:p>
      <w:pPr>
        <w:pStyle w:val="ListParagraph"/>
        <w:numPr>
          <w:ilvl w:val="0"/>
          <w:numId w:val="27"/>
        </w:numPr>
        <w:tabs>
          <w:tab w:pos="1200" w:val="left" w:leader="none"/>
          <w:tab w:pos="1201" w:val="left" w:leader="none"/>
        </w:tabs>
        <w:spacing w:line="254" w:lineRule="exact" w:before="0" w:after="0"/>
        <w:ind w:left="1200" w:right="0" w:hanging="819"/>
        <w:jc w:val="left"/>
        <w:rPr>
          <w:sz w:val="22"/>
        </w:rPr>
      </w:pPr>
      <w:r>
        <w:rPr>
          <w:w w:val="105"/>
          <w:sz w:val="22"/>
        </w:rPr>
        <w:t>accettare,</w:t>
      </w:r>
      <w:r>
        <w:rPr>
          <w:spacing w:val="40"/>
          <w:w w:val="105"/>
          <w:sz w:val="22"/>
        </w:rPr>
        <w:t> </w:t>
      </w:r>
      <w:r>
        <w:rPr>
          <w:w w:val="105"/>
          <w:sz w:val="22"/>
        </w:rPr>
        <w:t>nei</w:t>
      </w:r>
      <w:r>
        <w:rPr>
          <w:spacing w:val="38"/>
          <w:w w:val="105"/>
          <w:sz w:val="22"/>
        </w:rPr>
        <w:t> </w:t>
      </w:r>
      <w:r>
        <w:rPr>
          <w:w w:val="105"/>
          <w:sz w:val="22"/>
        </w:rPr>
        <w:t>limiti</w:t>
      </w:r>
      <w:r>
        <w:rPr>
          <w:spacing w:val="38"/>
          <w:w w:val="105"/>
          <w:sz w:val="22"/>
        </w:rPr>
        <w:t> </w:t>
      </w:r>
      <w:r>
        <w:rPr>
          <w:w w:val="105"/>
          <w:sz w:val="22"/>
        </w:rPr>
        <w:t>di</w:t>
      </w:r>
      <w:r>
        <w:rPr>
          <w:spacing w:val="38"/>
          <w:w w:val="105"/>
          <w:sz w:val="22"/>
        </w:rPr>
        <w:t> </w:t>
      </w:r>
      <w:r>
        <w:rPr>
          <w:w w:val="105"/>
          <w:sz w:val="22"/>
        </w:rPr>
        <w:t>quanto</w:t>
      </w:r>
      <w:r>
        <w:rPr>
          <w:spacing w:val="37"/>
          <w:w w:val="105"/>
          <w:sz w:val="22"/>
        </w:rPr>
        <w:t> </w:t>
      </w:r>
      <w:r>
        <w:rPr>
          <w:w w:val="105"/>
          <w:sz w:val="22"/>
        </w:rPr>
        <w:t>precisato</w:t>
      </w:r>
      <w:r>
        <w:rPr>
          <w:spacing w:val="39"/>
          <w:w w:val="105"/>
          <w:sz w:val="22"/>
        </w:rPr>
        <w:t> </w:t>
      </w:r>
      <w:r>
        <w:rPr>
          <w:w w:val="105"/>
          <w:sz w:val="22"/>
        </w:rPr>
        <w:t>sub</w:t>
      </w:r>
      <w:r>
        <w:rPr>
          <w:spacing w:val="39"/>
          <w:w w:val="105"/>
          <w:sz w:val="22"/>
        </w:rPr>
        <w:t> </w:t>
      </w:r>
      <w:r>
        <w:rPr>
          <w:w w:val="105"/>
          <w:sz w:val="22"/>
        </w:rPr>
        <w:t>(i)</w:t>
      </w:r>
      <w:r>
        <w:rPr>
          <w:spacing w:val="38"/>
          <w:w w:val="105"/>
          <w:sz w:val="22"/>
        </w:rPr>
        <w:t> </w:t>
      </w:r>
      <w:r>
        <w:rPr>
          <w:w w:val="105"/>
          <w:sz w:val="22"/>
        </w:rPr>
        <w:t>di</w:t>
      </w:r>
      <w:r>
        <w:rPr>
          <w:spacing w:val="38"/>
          <w:w w:val="105"/>
          <w:sz w:val="22"/>
        </w:rPr>
        <w:t> </w:t>
      </w:r>
      <w:r>
        <w:rPr>
          <w:w w:val="105"/>
          <w:sz w:val="22"/>
        </w:rPr>
        <w:t>essere</w:t>
      </w:r>
      <w:r>
        <w:rPr>
          <w:spacing w:val="37"/>
          <w:w w:val="105"/>
          <w:sz w:val="22"/>
        </w:rPr>
        <w:t> </w:t>
      </w:r>
      <w:r>
        <w:rPr>
          <w:w w:val="105"/>
          <w:sz w:val="22"/>
        </w:rPr>
        <w:t>inserita</w:t>
      </w:r>
    </w:p>
    <w:p>
      <w:pPr>
        <w:pStyle w:val="BodyText"/>
        <w:spacing w:before="7"/>
      </w:pPr>
    </w:p>
    <w:p>
      <w:pPr>
        <w:pStyle w:val="BodyText"/>
        <w:spacing w:line="494" w:lineRule="auto"/>
        <w:ind w:left="1200" w:right="2142"/>
        <w:jc w:val="both"/>
      </w:pPr>
      <w:r>
        <w:rPr>
          <w:w w:val="105"/>
        </w:rPr>
        <w:t>nell’elenco dei creditori del Concordato Preventivo quale creditore postergato parziale e condizionato;</w:t>
      </w:r>
    </w:p>
    <w:p>
      <w:pPr>
        <w:spacing w:after="0" w:line="494" w:lineRule="auto"/>
        <w:jc w:val="both"/>
        <w:sectPr>
          <w:pgSz w:w="12240" w:h="15840"/>
          <w:pgMar w:header="0" w:footer="790" w:top="1500" w:bottom="980" w:left="1720" w:right="1200"/>
        </w:sectPr>
      </w:pPr>
    </w:p>
    <w:p>
      <w:pPr>
        <w:pStyle w:val="ListParagraph"/>
        <w:numPr>
          <w:ilvl w:val="0"/>
          <w:numId w:val="27"/>
        </w:numPr>
        <w:tabs>
          <w:tab w:pos="1201" w:val="left" w:leader="none"/>
        </w:tabs>
        <w:spacing w:line="480" w:lineRule="auto" w:before="88" w:after="0"/>
        <w:ind w:left="1200" w:right="2143" w:hanging="883"/>
        <w:jc w:val="both"/>
        <w:rPr>
          <w:sz w:val="22"/>
        </w:rPr>
      </w:pPr>
      <w:r>
        <w:rPr>
          <w:w w:val="105"/>
          <w:sz w:val="22"/>
        </w:rPr>
        <w:t>accettare di ricevere il pagamento del Credito nei limiti di quanto previsto sub (i), secondo la tempistica prevista nel Piano e nella Proposta</w:t>
      </w:r>
      <w:r>
        <w:rPr>
          <w:spacing w:val="-29"/>
          <w:w w:val="105"/>
          <w:sz w:val="22"/>
        </w:rPr>
        <w:t> </w:t>
      </w:r>
      <w:r>
        <w:rPr>
          <w:w w:val="105"/>
          <w:sz w:val="22"/>
        </w:rPr>
        <w:t>di</w:t>
      </w:r>
      <w:r>
        <w:rPr>
          <w:spacing w:val="-29"/>
          <w:w w:val="105"/>
          <w:sz w:val="22"/>
        </w:rPr>
        <w:t> </w:t>
      </w:r>
      <w:r>
        <w:rPr>
          <w:w w:val="105"/>
          <w:sz w:val="22"/>
        </w:rPr>
        <w:t>Concordato</w:t>
      </w:r>
      <w:r>
        <w:rPr>
          <w:spacing w:val="-29"/>
          <w:w w:val="105"/>
          <w:sz w:val="22"/>
        </w:rPr>
        <w:t> </w:t>
      </w:r>
      <w:r>
        <w:rPr>
          <w:w w:val="105"/>
          <w:sz w:val="22"/>
        </w:rPr>
        <w:t>Preventivo;</w:t>
      </w:r>
    </w:p>
    <w:p>
      <w:pPr>
        <w:pStyle w:val="ListParagraph"/>
        <w:numPr>
          <w:ilvl w:val="0"/>
          <w:numId w:val="27"/>
        </w:numPr>
        <w:tabs>
          <w:tab w:pos="1201" w:val="left" w:leader="none"/>
        </w:tabs>
        <w:spacing w:line="487" w:lineRule="auto" w:before="0" w:after="0"/>
        <w:ind w:left="1200" w:right="2143" w:hanging="860"/>
        <w:jc w:val="both"/>
        <w:rPr>
          <w:sz w:val="22"/>
        </w:rPr>
      </w:pPr>
      <w:r>
        <w:rPr>
          <w:w w:val="105"/>
          <w:sz w:val="22"/>
        </w:rPr>
        <w:t>rinunciare definitivamente alla parte di Credito che, all’esito dei pagamenti, se possibili, di cui al punto (i), non dovesse essere soddisfatta ovvero, in alternativa, rinuncia integralmente al Credito qualora non dovesse risultare alcun importo distribuibile in suo favore</w:t>
      </w:r>
      <w:r>
        <w:rPr>
          <w:spacing w:val="-10"/>
          <w:w w:val="105"/>
          <w:sz w:val="22"/>
        </w:rPr>
        <w:t> </w:t>
      </w:r>
      <w:r>
        <w:rPr>
          <w:w w:val="105"/>
          <w:sz w:val="22"/>
        </w:rPr>
        <w:t>all’esito</w:t>
      </w:r>
      <w:r>
        <w:rPr>
          <w:spacing w:val="-7"/>
          <w:w w:val="105"/>
          <w:sz w:val="22"/>
        </w:rPr>
        <w:t> </w:t>
      </w:r>
      <w:r>
        <w:rPr>
          <w:w w:val="105"/>
          <w:sz w:val="22"/>
        </w:rPr>
        <w:t>dei</w:t>
      </w:r>
      <w:r>
        <w:rPr>
          <w:spacing w:val="-9"/>
          <w:w w:val="105"/>
          <w:sz w:val="22"/>
        </w:rPr>
        <w:t> </w:t>
      </w:r>
      <w:r>
        <w:rPr>
          <w:w w:val="105"/>
          <w:sz w:val="22"/>
        </w:rPr>
        <w:t>pagamenti</w:t>
      </w:r>
      <w:r>
        <w:rPr>
          <w:spacing w:val="-8"/>
          <w:w w:val="105"/>
          <w:sz w:val="22"/>
        </w:rPr>
        <w:t> </w:t>
      </w:r>
      <w:r>
        <w:rPr>
          <w:w w:val="105"/>
          <w:sz w:val="22"/>
        </w:rPr>
        <w:t>dei</w:t>
      </w:r>
      <w:r>
        <w:rPr>
          <w:spacing w:val="-8"/>
          <w:w w:val="105"/>
          <w:sz w:val="22"/>
        </w:rPr>
        <w:t> </w:t>
      </w:r>
      <w:r>
        <w:rPr>
          <w:w w:val="105"/>
          <w:sz w:val="22"/>
        </w:rPr>
        <w:t>crediti</w:t>
      </w:r>
      <w:r>
        <w:rPr>
          <w:spacing w:val="-10"/>
          <w:w w:val="105"/>
          <w:sz w:val="22"/>
        </w:rPr>
        <w:t> </w:t>
      </w:r>
      <w:r>
        <w:rPr>
          <w:w w:val="105"/>
          <w:sz w:val="22"/>
        </w:rPr>
        <w:t>del</w:t>
      </w:r>
      <w:r>
        <w:rPr>
          <w:spacing w:val="-9"/>
          <w:w w:val="105"/>
          <w:sz w:val="22"/>
        </w:rPr>
        <w:t> </w:t>
      </w:r>
      <w:r>
        <w:rPr>
          <w:w w:val="105"/>
          <w:sz w:val="22"/>
        </w:rPr>
        <w:t>Concordato</w:t>
      </w:r>
      <w:r>
        <w:rPr>
          <w:spacing w:val="-9"/>
          <w:w w:val="105"/>
          <w:sz w:val="22"/>
        </w:rPr>
        <w:t> </w:t>
      </w:r>
      <w:r>
        <w:rPr>
          <w:w w:val="105"/>
          <w:sz w:val="22"/>
        </w:rPr>
        <w:t>Preventivo di</w:t>
      </w:r>
      <w:r>
        <w:rPr>
          <w:spacing w:val="-14"/>
          <w:w w:val="105"/>
          <w:sz w:val="22"/>
        </w:rPr>
        <w:t> </w:t>
      </w:r>
      <w:r>
        <w:rPr>
          <w:w w:val="105"/>
          <w:sz w:val="22"/>
        </w:rPr>
        <w:t>cui</w:t>
      </w:r>
      <w:r>
        <w:rPr>
          <w:spacing w:val="-16"/>
          <w:w w:val="105"/>
          <w:sz w:val="22"/>
        </w:rPr>
        <w:t> </w:t>
      </w:r>
      <w:r>
        <w:rPr>
          <w:w w:val="105"/>
          <w:sz w:val="22"/>
        </w:rPr>
        <w:t>al</w:t>
      </w:r>
      <w:r>
        <w:rPr>
          <w:spacing w:val="-14"/>
          <w:w w:val="105"/>
          <w:sz w:val="22"/>
        </w:rPr>
        <w:t> </w:t>
      </w:r>
      <w:r>
        <w:rPr>
          <w:w w:val="105"/>
          <w:sz w:val="22"/>
        </w:rPr>
        <w:t>medesimo</w:t>
      </w:r>
      <w:r>
        <w:rPr>
          <w:spacing w:val="-15"/>
          <w:w w:val="105"/>
          <w:sz w:val="22"/>
        </w:rPr>
        <w:t> </w:t>
      </w:r>
      <w:r>
        <w:rPr>
          <w:w w:val="105"/>
          <w:sz w:val="22"/>
        </w:rPr>
        <w:t>punto</w:t>
      </w:r>
      <w:r>
        <w:rPr>
          <w:spacing w:val="-14"/>
          <w:w w:val="105"/>
          <w:sz w:val="22"/>
        </w:rPr>
        <w:t> </w:t>
      </w:r>
      <w:r>
        <w:rPr>
          <w:w w:val="105"/>
          <w:sz w:val="22"/>
        </w:rPr>
        <w:t>(i).</w:t>
      </w:r>
    </w:p>
    <w:p>
      <w:pPr>
        <w:pStyle w:val="BodyText"/>
        <w:spacing w:before="10"/>
        <w:ind w:left="476" w:right="2272"/>
        <w:jc w:val="center"/>
      </w:pPr>
      <w:r>
        <w:rPr>
          <w:w w:val="105"/>
        </w:rPr>
        <w:t>* * *</w:t>
      </w:r>
    </w:p>
    <w:p>
      <w:pPr>
        <w:pStyle w:val="BodyText"/>
        <w:spacing w:before="7"/>
        <w:rPr>
          <w:sz w:val="21"/>
        </w:rPr>
      </w:pPr>
    </w:p>
    <w:p>
      <w:pPr>
        <w:pStyle w:val="Heading1"/>
        <w:numPr>
          <w:ilvl w:val="1"/>
          <w:numId w:val="18"/>
        </w:numPr>
        <w:tabs>
          <w:tab w:pos="802" w:val="left" w:leader="none"/>
        </w:tabs>
        <w:spacing w:line="240" w:lineRule="auto" w:before="0" w:after="0"/>
        <w:ind w:left="801" w:right="0" w:hanging="401"/>
        <w:jc w:val="both"/>
      </w:pPr>
      <w:bookmarkStart w:name="_TOC_250017" w:id="35"/>
      <w:r>
        <w:rPr>
          <w:w w:val="95"/>
          <w:u w:val="single"/>
        </w:rPr>
        <w:t>Segue: l’impegno Eredi</w:t>
      </w:r>
      <w:r>
        <w:rPr>
          <w:spacing w:val="-40"/>
          <w:w w:val="95"/>
          <w:u w:val="single"/>
        </w:rPr>
        <w:t> </w:t>
      </w:r>
      <w:bookmarkEnd w:id="35"/>
      <w:r>
        <w:rPr>
          <w:w w:val="95"/>
          <w:u w:val="single"/>
        </w:rPr>
        <w:t>Ghisolfi</w:t>
      </w:r>
    </w:p>
    <w:p>
      <w:pPr>
        <w:pStyle w:val="BodyText"/>
        <w:spacing w:before="6"/>
        <w:rPr>
          <w:b/>
          <w:i/>
        </w:rPr>
      </w:pPr>
    </w:p>
    <w:p>
      <w:pPr>
        <w:pStyle w:val="BodyText"/>
        <w:spacing w:line="491" w:lineRule="auto"/>
        <w:ind w:left="400" w:right="2195"/>
        <w:jc w:val="both"/>
      </w:pPr>
      <w:r>
        <w:rPr>
          <w:w w:val="105"/>
        </w:rPr>
        <w:t>L’ing. Guido Ghisolfi, al momento della sua morte, vantava nei confronti della Società un credito pari a complessivi Euro 441.643,84 (il “</w:t>
      </w:r>
      <w:r>
        <w:rPr>
          <w:b/>
          <w:w w:val="105"/>
        </w:rPr>
        <w:t>Credito </w:t>
      </w:r>
      <w:r>
        <w:rPr>
          <w:b/>
        </w:rPr>
        <w:t>Guido Ghisolfi</w:t>
      </w:r>
      <w:r>
        <w:rPr/>
        <w:t>”).</w:t>
      </w:r>
    </w:p>
    <w:p>
      <w:pPr>
        <w:pStyle w:val="BodyText"/>
        <w:spacing w:line="491" w:lineRule="auto"/>
        <w:ind w:left="400" w:right="2196"/>
        <w:jc w:val="both"/>
      </w:pPr>
      <w:r>
        <w:rPr>
          <w:w w:val="105"/>
        </w:rPr>
        <w:t>Il</w:t>
      </w:r>
      <w:r>
        <w:rPr>
          <w:spacing w:val="-12"/>
          <w:w w:val="105"/>
        </w:rPr>
        <w:t> </w:t>
      </w:r>
      <w:r>
        <w:rPr>
          <w:w w:val="105"/>
        </w:rPr>
        <w:t>Credito</w:t>
      </w:r>
      <w:r>
        <w:rPr>
          <w:spacing w:val="-12"/>
          <w:w w:val="105"/>
        </w:rPr>
        <w:t> </w:t>
      </w:r>
      <w:r>
        <w:rPr>
          <w:w w:val="105"/>
        </w:rPr>
        <w:t>Guido</w:t>
      </w:r>
      <w:r>
        <w:rPr>
          <w:spacing w:val="-12"/>
          <w:w w:val="105"/>
        </w:rPr>
        <w:t> </w:t>
      </w:r>
      <w:r>
        <w:rPr>
          <w:w w:val="105"/>
        </w:rPr>
        <w:t>Ghisolfi,</w:t>
      </w:r>
      <w:r>
        <w:rPr>
          <w:spacing w:val="-12"/>
          <w:w w:val="105"/>
        </w:rPr>
        <w:t> </w:t>
      </w:r>
      <w:r>
        <w:rPr>
          <w:w w:val="105"/>
        </w:rPr>
        <w:t>dopo</w:t>
      </w:r>
      <w:r>
        <w:rPr>
          <w:spacing w:val="-12"/>
          <w:w w:val="105"/>
        </w:rPr>
        <w:t> </w:t>
      </w:r>
      <w:r>
        <w:rPr>
          <w:w w:val="105"/>
        </w:rPr>
        <w:t>il</w:t>
      </w:r>
      <w:r>
        <w:rPr>
          <w:spacing w:val="-12"/>
          <w:w w:val="105"/>
        </w:rPr>
        <w:t> </w:t>
      </w:r>
      <w:r>
        <w:rPr>
          <w:w w:val="105"/>
        </w:rPr>
        <w:t>decesso</w:t>
      </w:r>
      <w:r>
        <w:rPr>
          <w:spacing w:val="-11"/>
          <w:w w:val="105"/>
        </w:rPr>
        <w:t> </w:t>
      </w:r>
      <w:r>
        <w:rPr>
          <w:w w:val="105"/>
        </w:rPr>
        <w:t>di</w:t>
      </w:r>
      <w:r>
        <w:rPr>
          <w:spacing w:val="-12"/>
          <w:w w:val="105"/>
        </w:rPr>
        <w:t> </w:t>
      </w:r>
      <w:r>
        <w:rPr>
          <w:w w:val="105"/>
        </w:rPr>
        <w:t>quest’ultimo,</w:t>
      </w:r>
      <w:r>
        <w:rPr>
          <w:spacing w:val="-12"/>
          <w:w w:val="105"/>
        </w:rPr>
        <w:t> </w:t>
      </w:r>
      <w:r>
        <w:rPr>
          <w:w w:val="105"/>
        </w:rPr>
        <w:t>è</w:t>
      </w:r>
      <w:r>
        <w:rPr>
          <w:spacing w:val="-11"/>
          <w:w w:val="105"/>
        </w:rPr>
        <w:t> </w:t>
      </w:r>
      <w:r>
        <w:rPr>
          <w:w w:val="105"/>
        </w:rPr>
        <w:t>stati</w:t>
      </w:r>
      <w:r>
        <w:rPr>
          <w:spacing w:val="-12"/>
          <w:w w:val="105"/>
        </w:rPr>
        <w:t> </w:t>
      </w:r>
      <w:r>
        <w:rPr>
          <w:w w:val="105"/>
        </w:rPr>
        <w:t>trasferiti</w:t>
      </w:r>
      <w:r>
        <w:rPr>
          <w:spacing w:val="-11"/>
          <w:w w:val="105"/>
        </w:rPr>
        <w:t> </w:t>
      </w:r>
      <w:r>
        <w:rPr>
          <w:w w:val="105"/>
        </w:rPr>
        <w:t>in successione ereditaria ai signori Ivana Tanzi, Andrea Riccardo Ghisolfi, Alessandra Micol Ghisolfi, Alberto Filippo Ghisolfi e Adelaide Ghisolfi (congiuntamente,</w:t>
      </w:r>
      <w:r>
        <w:rPr>
          <w:spacing w:val="-29"/>
          <w:w w:val="105"/>
        </w:rPr>
        <w:t> </w:t>
      </w:r>
      <w:r>
        <w:rPr>
          <w:w w:val="105"/>
        </w:rPr>
        <w:t>gli</w:t>
      </w:r>
      <w:r>
        <w:rPr>
          <w:spacing w:val="-29"/>
          <w:w w:val="105"/>
        </w:rPr>
        <w:t> </w:t>
      </w:r>
      <w:r>
        <w:rPr>
          <w:w w:val="105"/>
        </w:rPr>
        <w:t>“</w:t>
      </w:r>
      <w:r>
        <w:rPr>
          <w:b/>
          <w:w w:val="105"/>
        </w:rPr>
        <w:t>Eredi</w:t>
      </w:r>
      <w:r>
        <w:rPr>
          <w:b/>
          <w:spacing w:val="-29"/>
          <w:w w:val="105"/>
        </w:rPr>
        <w:t> </w:t>
      </w:r>
      <w:r>
        <w:rPr>
          <w:b/>
          <w:w w:val="105"/>
        </w:rPr>
        <w:t>Guido</w:t>
      </w:r>
      <w:r>
        <w:rPr>
          <w:b/>
          <w:spacing w:val="-29"/>
          <w:w w:val="105"/>
        </w:rPr>
        <w:t> </w:t>
      </w:r>
      <w:r>
        <w:rPr>
          <w:b/>
          <w:w w:val="105"/>
        </w:rPr>
        <w:t>Ghisolfi</w:t>
      </w:r>
      <w:r>
        <w:rPr>
          <w:w w:val="105"/>
        </w:rPr>
        <w:t>”).</w:t>
      </w:r>
    </w:p>
    <w:p>
      <w:pPr>
        <w:pStyle w:val="BodyText"/>
        <w:spacing w:line="491" w:lineRule="auto" w:before="2"/>
        <w:ind w:left="400" w:right="2195"/>
        <w:jc w:val="both"/>
      </w:pPr>
      <w:r>
        <w:rPr>
          <w:w w:val="105"/>
        </w:rPr>
        <w:t>Con lettera di impegno in data 23 aprile 2018, ai fini del buon esito del proponendo Concordato Preventivo, gli Eredi Guido Ghisolfi, in qualità di creditori chirografari della Società, si sono impegnati a rinunciare al</w:t>
      </w:r>
      <w:r>
        <w:rPr>
          <w:spacing w:val="-37"/>
          <w:w w:val="105"/>
        </w:rPr>
        <w:t> </w:t>
      </w:r>
      <w:r>
        <w:rPr>
          <w:w w:val="105"/>
        </w:rPr>
        <w:t>Credito Guido Ghisolfi, subordinatamente alla pronuncia del decreto di omologazione</w:t>
      </w:r>
      <w:r>
        <w:rPr>
          <w:spacing w:val="-13"/>
          <w:w w:val="105"/>
        </w:rPr>
        <w:t> </w:t>
      </w:r>
      <w:r>
        <w:rPr>
          <w:w w:val="105"/>
        </w:rPr>
        <w:t>del</w:t>
      </w:r>
      <w:r>
        <w:rPr>
          <w:spacing w:val="-12"/>
          <w:w w:val="105"/>
        </w:rPr>
        <w:t> </w:t>
      </w:r>
      <w:r>
        <w:rPr>
          <w:w w:val="105"/>
        </w:rPr>
        <w:t>Concordato</w:t>
      </w:r>
      <w:r>
        <w:rPr>
          <w:spacing w:val="-11"/>
          <w:w w:val="105"/>
        </w:rPr>
        <w:t> </w:t>
      </w:r>
      <w:r>
        <w:rPr>
          <w:w w:val="105"/>
        </w:rPr>
        <w:t>Preventivo,</w:t>
      </w:r>
      <w:r>
        <w:rPr>
          <w:spacing w:val="-12"/>
          <w:w w:val="105"/>
        </w:rPr>
        <w:t> </w:t>
      </w:r>
      <w:r>
        <w:rPr>
          <w:w w:val="105"/>
        </w:rPr>
        <w:t>dichiarando</w:t>
      </w:r>
      <w:r>
        <w:rPr>
          <w:spacing w:val="-13"/>
          <w:w w:val="105"/>
        </w:rPr>
        <w:t> </w:t>
      </w:r>
      <w:r>
        <w:rPr>
          <w:w w:val="105"/>
        </w:rPr>
        <w:t>di</w:t>
      </w:r>
      <w:r>
        <w:rPr>
          <w:spacing w:val="-12"/>
          <w:w w:val="105"/>
        </w:rPr>
        <w:t> </w:t>
      </w:r>
      <w:r>
        <w:rPr>
          <w:w w:val="105"/>
        </w:rPr>
        <w:t>accettare</w:t>
      </w:r>
      <w:r>
        <w:rPr>
          <w:spacing w:val="-12"/>
          <w:w w:val="105"/>
        </w:rPr>
        <w:t> </w:t>
      </w:r>
      <w:r>
        <w:rPr>
          <w:w w:val="105"/>
        </w:rPr>
        <w:t>di</w:t>
      </w:r>
      <w:r>
        <w:rPr>
          <w:spacing w:val="-13"/>
          <w:w w:val="105"/>
        </w:rPr>
        <w:t> </w:t>
      </w:r>
      <w:r>
        <w:rPr>
          <w:w w:val="105"/>
        </w:rPr>
        <w:t>essere inseriti</w:t>
      </w:r>
      <w:r>
        <w:rPr>
          <w:spacing w:val="32"/>
          <w:w w:val="105"/>
        </w:rPr>
        <w:t> </w:t>
      </w:r>
      <w:r>
        <w:rPr>
          <w:w w:val="105"/>
        </w:rPr>
        <w:t>nell’elenco</w:t>
      </w:r>
      <w:r>
        <w:rPr>
          <w:spacing w:val="30"/>
          <w:w w:val="105"/>
        </w:rPr>
        <w:t> </w:t>
      </w:r>
      <w:r>
        <w:rPr>
          <w:w w:val="105"/>
        </w:rPr>
        <w:t>dei</w:t>
      </w:r>
      <w:r>
        <w:rPr>
          <w:spacing w:val="32"/>
          <w:w w:val="105"/>
        </w:rPr>
        <w:t> </w:t>
      </w:r>
      <w:r>
        <w:rPr>
          <w:w w:val="105"/>
        </w:rPr>
        <w:t>creditori</w:t>
      </w:r>
      <w:r>
        <w:rPr>
          <w:spacing w:val="30"/>
          <w:w w:val="105"/>
        </w:rPr>
        <w:t> </w:t>
      </w:r>
      <w:r>
        <w:rPr>
          <w:w w:val="105"/>
        </w:rPr>
        <w:t>del</w:t>
      </w:r>
      <w:r>
        <w:rPr>
          <w:spacing w:val="31"/>
          <w:w w:val="105"/>
        </w:rPr>
        <w:t> </w:t>
      </w:r>
      <w:r>
        <w:rPr>
          <w:w w:val="105"/>
        </w:rPr>
        <w:t>Concordato</w:t>
      </w:r>
      <w:r>
        <w:rPr>
          <w:spacing w:val="33"/>
          <w:w w:val="105"/>
        </w:rPr>
        <w:t> </w:t>
      </w:r>
      <w:r>
        <w:rPr>
          <w:w w:val="105"/>
        </w:rPr>
        <w:t>Preventivo</w:t>
      </w:r>
      <w:r>
        <w:rPr>
          <w:spacing w:val="30"/>
          <w:w w:val="105"/>
        </w:rPr>
        <w:t> </w:t>
      </w:r>
      <w:r>
        <w:rPr>
          <w:w w:val="105"/>
        </w:rPr>
        <w:t>delle</w:t>
      </w:r>
      <w:r>
        <w:rPr>
          <w:spacing w:val="31"/>
          <w:w w:val="105"/>
        </w:rPr>
        <w:t> </w:t>
      </w:r>
      <w:r>
        <w:rPr>
          <w:w w:val="105"/>
        </w:rPr>
        <w:t>Società,</w:t>
      </w:r>
    </w:p>
    <w:p>
      <w:pPr>
        <w:spacing w:after="0" w:line="491" w:lineRule="auto"/>
        <w:jc w:val="both"/>
        <w:sectPr>
          <w:pgSz w:w="12240" w:h="15840"/>
          <w:pgMar w:header="0" w:footer="790" w:top="1500" w:bottom="980" w:left="1720" w:right="1200"/>
        </w:sectPr>
      </w:pPr>
    </w:p>
    <w:p>
      <w:pPr>
        <w:pStyle w:val="BodyText"/>
        <w:spacing w:line="491" w:lineRule="auto" w:before="105"/>
        <w:ind w:left="400" w:right="2200"/>
      </w:pPr>
      <w:r>
        <w:rPr>
          <w:w w:val="105"/>
        </w:rPr>
        <w:t>quale titolare di credito oggetto di rinuncia sottoposta a condizione sospensiva (l’“</w:t>
      </w:r>
      <w:r>
        <w:rPr>
          <w:b/>
          <w:w w:val="105"/>
        </w:rPr>
        <w:t>Impegno Eredi Ghisolfi</w:t>
      </w:r>
      <w:r>
        <w:rPr>
          <w:w w:val="105"/>
        </w:rPr>
        <w:t>”).</w:t>
      </w:r>
    </w:p>
    <w:p>
      <w:pPr>
        <w:pStyle w:val="BodyText"/>
        <w:spacing w:before="1"/>
        <w:ind w:left="476" w:right="2220"/>
        <w:jc w:val="center"/>
      </w:pPr>
      <w:r>
        <w:rPr>
          <w:w w:val="105"/>
        </w:rPr>
        <w:t>* * *</w:t>
      </w:r>
    </w:p>
    <w:p>
      <w:pPr>
        <w:pStyle w:val="BodyText"/>
        <w:spacing w:before="6"/>
        <w:rPr>
          <w:sz w:val="21"/>
        </w:rPr>
      </w:pPr>
    </w:p>
    <w:p>
      <w:pPr>
        <w:pStyle w:val="Heading1"/>
        <w:numPr>
          <w:ilvl w:val="1"/>
          <w:numId w:val="18"/>
        </w:numPr>
        <w:tabs>
          <w:tab w:pos="1066" w:val="left" w:leader="none"/>
          <w:tab w:pos="1067" w:val="left" w:leader="none"/>
        </w:tabs>
        <w:spacing w:line="240" w:lineRule="auto" w:before="0" w:after="0"/>
        <w:ind w:left="1066" w:right="0" w:hanging="666"/>
        <w:jc w:val="left"/>
      </w:pPr>
      <w:bookmarkStart w:name="_TOC_250016" w:id="36"/>
      <w:r>
        <w:rPr>
          <w:w w:val="95"/>
          <w:u w:val="single"/>
        </w:rPr>
        <w:t>Segue:</w:t>
      </w:r>
      <w:r>
        <w:rPr>
          <w:spacing w:val="-10"/>
          <w:w w:val="95"/>
          <w:u w:val="single"/>
        </w:rPr>
        <w:t> </w:t>
      </w:r>
      <w:r>
        <w:rPr>
          <w:w w:val="95"/>
          <w:u w:val="single"/>
        </w:rPr>
        <w:t>la</w:t>
      </w:r>
      <w:r>
        <w:rPr>
          <w:spacing w:val="-10"/>
          <w:w w:val="95"/>
          <w:u w:val="single"/>
        </w:rPr>
        <w:t> </w:t>
      </w:r>
      <w:r>
        <w:rPr>
          <w:w w:val="95"/>
          <w:u w:val="single"/>
        </w:rPr>
        <w:t>trasformazione</w:t>
      </w:r>
      <w:r>
        <w:rPr>
          <w:spacing w:val="-10"/>
          <w:w w:val="95"/>
          <w:u w:val="single"/>
        </w:rPr>
        <w:t> </w:t>
      </w:r>
      <w:r>
        <w:rPr>
          <w:w w:val="95"/>
          <w:u w:val="single"/>
        </w:rPr>
        <w:t>della</w:t>
      </w:r>
      <w:r>
        <w:rPr>
          <w:spacing w:val="-10"/>
          <w:w w:val="95"/>
          <w:u w:val="single"/>
        </w:rPr>
        <w:t> </w:t>
      </w:r>
      <w:r>
        <w:rPr>
          <w:w w:val="95"/>
          <w:u w:val="single"/>
        </w:rPr>
        <w:t>Società</w:t>
      </w:r>
      <w:r>
        <w:rPr>
          <w:spacing w:val="-10"/>
          <w:w w:val="95"/>
          <w:u w:val="single"/>
        </w:rPr>
        <w:t> </w:t>
      </w:r>
      <w:r>
        <w:rPr>
          <w:w w:val="95"/>
          <w:u w:val="single"/>
        </w:rPr>
        <w:t>in</w:t>
      </w:r>
      <w:r>
        <w:rPr>
          <w:spacing w:val="-9"/>
          <w:w w:val="95"/>
          <w:u w:val="single"/>
        </w:rPr>
        <w:t> </w:t>
      </w:r>
      <w:bookmarkEnd w:id="36"/>
      <w:r>
        <w:rPr>
          <w:w w:val="95"/>
          <w:u w:val="single"/>
        </w:rPr>
        <w:t>S.r.l.</w:t>
      </w:r>
    </w:p>
    <w:p>
      <w:pPr>
        <w:pStyle w:val="BodyText"/>
        <w:spacing w:before="6"/>
        <w:rPr>
          <w:b/>
          <w:i/>
        </w:rPr>
      </w:pPr>
    </w:p>
    <w:p>
      <w:pPr>
        <w:pStyle w:val="BodyText"/>
        <w:spacing w:line="494" w:lineRule="auto"/>
        <w:ind w:left="400" w:right="2200"/>
      </w:pPr>
      <w:r>
        <w:rPr>
          <w:w w:val="105"/>
        </w:rPr>
        <w:t>Il Piano prevede la trasformazione della Società in s.r.l., con conseguente risparmio sui costi fissi della struttura societaria.</w:t>
      </w:r>
    </w:p>
    <w:p>
      <w:pPr>
        <w:pStyle w:val="BodyText"/>
        <w:spacing w:line="245" w:lineRule="exact"/>
        <w:ind w:left="476" w:right="2220"/>
        <w:jc w:val="center"/>
      </w:pPr>
      <w:r>
        <w:rPr>
          <w:w w:val="105"/>
        </w:rPr>
        <w:t>* * *</w:t>
      </w:r>
    </w:p>
    <w:p>
      <w:pPr>
        <w:pStyle w:val="BodyText"/>
        <w:spacing w:before="3"/>
        <w:rPr>
          <w:sz w:val="23"/>
        </w:rPr>
      </w:pPr>
    </w:p>
    <w:p>
      <w:pPr>
        <w:pStyle w:val="Heading2"/>
        <w:numPr>
          <w:ilvl w:val="1"/>
          <w:numId w:val="18"/>
        </w:numPr>
        <w:tabs>
          <w:tab w:pos="1066" w:val="left" w:leader="none"/>
          <w:tab w:pos="1067" w:val="left" w:leader="none"/>
        </w:tabs>
        <w:spacing w:line="240" w:lineRule="auto" w:before="0" w:after="0"/>
        <w:ind w:left="1066" w:right="0" w:hanging="666"/>
        <w:jc w:val="left"/>
      </w:pPr>
      <w:bookmarkStart w:name="_TOC_250015" w:id="37"/>
      <w:r>
        <w:rPr>
          <w:w w:val="105"/>
          <w:u w:val="single"/>
        </w:rPr>
        <w:t>La</w:t>
      </w:r>
      <w:r>
        <w:rPr>
          <w:spacing w:val="-22"/>
          <w:w w:val="105"/>
          <w:u w:val="single"/>
        </w:rPr>
        <w:t> </w:t>
      </w:r>
      <w:r>
        <w:rPr>
          <w:w w:val="105"/>
          <w:u w:val="single"/>
        </w:rPr>
        <w:t>suddivisione</w:t>
      </w:r>
      <w:r>
        <w:rPr>
          <w:spacing w:val="-21"/>
          <w:w w:val="105"/>
          <w:u w:val="single"/>
        </w:rPr>
        <w:t> </w:t>
      </w:r>
      <w:r>
        <w:rPr>
          <w:w w:val="105"/>
          <w:u w:val="single"/>
        </w:rPr>
        <w:t>in</w:t>
      </w:r>
      <w:r>
        <w:rPr>
          <w:spacing w:val="-22"/>
          <w:w w:val="105"/>
          <w:u w:val="single"/>
        </w:rPr>
        <w:t> </w:t>
      </w:r>
      <w:bookmarkEnd w:id="37"/>
      <w:r>
        <w:rPr>
          <w:w w:val="105"/>
          <w:u w:val="single"/>
        </w:rPr>
        <w:t>classi</w:t>
      </w:r>
    </w:p>
    <w:p>
      <w:pPr>
        <w:pStyle w:val="BodyText"/>
        <w:spacing w:before="1"/>
        <w:rPr>
          <w:b/>
          <w:sz w:val="23"/>
        </w:rPr>
      </w:pPr>
    </w:p>
    <w:p>
      <w:pPr>
        <w:pStyle w:val="BodyText"/>
        <w:spacing w:line="491" w:lineRule="auto"/>
        <w:ind w:left="400" w:right="2200"/>
      </w:pPr>
      <w:r>
        <w:rPr>
          <w:w w:val="105"/>
        </w:rPr>
        <w:t>La Proposta di Concordato prevede 3 (tre) classi di creditori di cui 2 (due) classi votanti (le “</w:t>
      </w:r>
      <w:r>
        <w:rPr>
          <w:b/>
          <w:w w:val="105"/>
        </w:rPr>
        <w:t>Classi</w:t>
      </w:r>
      <w:r>
        <w:rPr>
          <w:w w:val="105"/>
        </w:rPr>
        <w:t>”):</w:t>
      </w:r>
    </w:p>
    <w:p>
      <w:pPr>
        <w:pStyle w:val="ListParagraph"/>
        <w:numPr>
          <w:ilvl w:val="0"/>
          <w:numId w:val="28"/>
        </w:numPr>
        <w:tabs>
          <w:tab w:pos="1467" w:val="left" w:leader="none"/>
          <w:tab w:pos="1468" w:val="left" w:leader="none"/>
        </w:tabs>
        <w:spacing w:line="240" w:lineRule="auto" w:before="1" w:after="0"/>
        <w:ind w:left="1467" w:right="0" w:hanging="400"/>
        <w:jc w:val="left"/>
        <w:rPr>
          <w:sz w:val="22"/>
        </w:rPr>
      </w:pPr>
      <w:r>
        <w:rPr>
          <w:b/>
          <w:w w:val="105"/>
          <w:sz w:val="22"/>
          <w:u w:val="single"/>
        </w:rPr>
        <w:t>Classe 1, con diritto di voto</w:t>
      </w:r>
      <w:r>
        <w:rPr>
          <w:w w:val="105"/>
          <w:sz w:val="22"/>
        </w:rPr>
        <w:t>, composta dai crediti</w:t>
      </w:r>
      <w:r>
        <w:rPr>
          <w:spacing w:val="-9"/>
          <w:w w:val="105"/>
          <w:sz w:val="22"/>
        </w:rPr>
        <w:t> </w:t>
      </w:r>
      <w:r>
        <w:rPr>
          <w:w w:val="105"/>
          <w:sz w:val="22"/>
        </w:rPr>
        <w:t>chirografari</w:t>
      </w:r>
    </w:p>
    <w:p>
      <w:pPr>
        <w:pStyle w:val="BodyText"/>
        <w:spacing w:before="10"/>
        <w:rPr>
          <w:sz w:val="13"/>
        </w:rPr>
      </w:pPr>
    </w:p>
    <w:p>
      <w:pPr>
        <w:pStyle w:val="BodyText"/>
        <w:spacing w:line="491" w:lineRule="auto" w:before="105"/>
        <w:ind w:left="1467" w:right="2196"/>
        <w:jc w:val="both"/>
      </w:pPr>
      <w:r>
        <w:rPr>
          <w:w w:val="105"/>
        </w:rPr>
        <w:t>diversi</w:t>
      </w:r>
      <w:r>
        <w:rPr>
          <w:spacing w:val="-9"/>
          <w:w w:val="105"/>
        </w:rPr>
        <w:t> </w:t>
      </w:r>
      <w:r>
        <w:rPr>
          <w:w w:val="105"/>
        </w:rPr>
        <w:t>da</w:t>
      </w:r>
      <w:r>
        <w:rPr>
          <w:spacing w:val="-9"/>
          <w:w w:val="105"/>
        </w:rPr>
        <w:t> </w:t>
      </w:r>
      <w:r>
        <w:rPr>
          <w:w w:val="105"/>
        </w:rPr>
        <w:t>quelli</w:t>
      </w:r>
      <w:r>
        <w:rPr>
          <w:spacing w:val="-9"/>
          <w:w w:val="105"/>
        </w:rPr>
        <w:t> </w:t>
      </w:r>
      <w:r>
        <w:rPr>
          <w:w w:val="105"/>
        </w:rPr>
        <w:t>di</w:t>
      </w:r>
      <w:r>
        <w:rPr>
          <w:spacing w:val="-7"/>
          <w:w w:val="105"/>
        </w:rPr>
        <w:t> </w:t>
      </w:r>
      <w:r>
        <w:rPr>
          <w:w w:val="105"/>
        </w:rPr>
        <w:t>cui</w:t>
      </w:r>
      <w:r>
        <w:rPr>
          <w:spacing w:val="-9"/>
          <w:w w:val="105"/>
        </w:rPr>
        <w:t> </w:t>
      </w:r>
      <w:r>
        <w:rPr>
          <w:w w:val="105"/>
        </w:rPr>
        <w:t>alla</w:t>
      </w:r>
      <w:r>
        <w:rPr>
          <w:spacing w:val="-10"/>
          <w:w w:val="105"/>
        </w:rPr>
        <w:t> </w:t>
      </w:r>
      <w:r>
        <w:rPr>
          <w:w w:val="105"/>
        </w:rPr>
        <w:t>classe</w:t>
      </w:r>
      <w:r>
        <w:rPr>
          <w:spacing w:val="-9"/>
          <w:w w:val="105"/>
        </w:rPr>
        <w:t> </w:t>
      </w:r>
      <w:r>
        <w:rPr>
          <w:w w:val="105"/>
        </w:rPr>
        <w:t>2</w:t>
      </w:r>
      <w:r>
        <w:rPr>
          <w:spacing w:val="-9"/>
          <w:w w:val="105"/>
        </w:rPr>
        <w:t> </w:t>
      </w:r>
      <w:r>
        <w:rPr>
          <w:w w:val="105"/>
        </w:rPr>
        <w:t>e</w:t>
      </w:r>
      <w:r>
        <w:rPr>
          <w:spacing w:val="-8"/>
          <w:w w:val="105"/>
        </w:rPr>
        <w:t> </w:t>
      </w:r>
      <w:r>
        <w:rPr>
          <w:w w:val="105"/>
        </w:rPr>
        <w:t>alla</w:t>
      </w:r>
      <w:r>
        <w:rPr>
          <w:spacing w:val="-9"/>
          <w:w w:val="105"/>
        </w:rPr>
        <w:t> </w:t>
      </w:r>
      <w:r>
        <w:rPr>
          <w:w w:val="105"/>
        </w:rPr>
        <w:t>classe</w:t>
      </w:r>
      <w:r>
        <w:rPr>
          <w:spacing w:val="-9"/>
          <w:w w:val="105"/>
        </w:rPr>
        <w:t> </w:t>
      </w:r>
      <w:r>
        <w:rPr>
          <w:w w:val="105"/>
        </w:rPr>
        <w:t>3,</w:t>
      </w:r>
      <w:r>
        <w:rPr>
          <w:spacing w:val="-9"/>
          <w:w w:val="105"/>
        </w:rPr>
        <w:t> </w:t>
      </w:r>
      <w:r>
        <w:rPr>
          <w:w w:val="105"/>
        </w:rPr>
        <w:t>con</w:t>
      </w:r>
      <w:r>
        <w:rPr>
          <w:spacing w:val="-10"/>
          <w:w w:val="105"/>
        </w:rPr>
        <w:t> </w:t>
      </w:r>
      <w:r>
        <w:rPr>
          <w:w w:val="105"/>
        </w:rPr>
        <w:t>pagamento in una percentuale assicurata e garantita pari al 20% del rispettivo credito, da corrispondersi nella misura del relativo 50% </w:t>
      </w:r>
      <w:r>
        <w:rPr>
          <w:w w:val="105"/>
          <w:u w:val="single"/>
        </w:rPr>
        <w:t>entro 3 (tre) mesi </w:t>
      </w:r>
      <w:r>
        <w:rPr>
          <w:w w:val="105"/>
        </w:rPr>
        <w:t>dal Decreto di Omologazione e,</w:t>
      </w:r>
      <w:r>
        <w:rPr>
          <w:spacing w:val="19"/>
          <w:w w:val="105"/>
        </w:rPr>
        <w:t> </w:t>
      </w:r>
      <w:r>
        <w:rPr>
          <w:w w:val="105"/>
        </w:rPr>
        <w:t>quanto</w:t>
      </w:r>
    </w:p>
    <w:p>
      <w:pPr>
        <w:pStyle w:val="BodyText"/>
        <w:spacing w:line="491" w:lineRule="auto" w:before="1"/>
        <w:ind w:left="1467" w:right="2193"/>
      </w:pPr>
      <w:r>
        <w:rPr>
          <w:w w:val="105"/>
        </w:rPr>
        <w:t>all’ulteriore 25% </w:t>
      </w:r>
      <w:r>
        <w:rPr>
          <w:w w:val="105"/>
          <w:u w:val="single"/>
        </w:rPr>
        <w:t>entro 15 (quindici) mesi </w:t>
      </w:r>
      <w:r>
        <w:rPr>
          <w:w w:val="105"/>
        </w:rPr>
        <w:t>dalla Data di Omologazione e, infine, l’ulteriore 25% </w:t>
      </w:r>
      <w:r>
        <w:rPr>
          <w:w w:val="105"/>
          <w:u w:val="single"/>
        </w:rPr>
        <w:t>entro 35 (trentacinque)</w:t>
      </w:r>
    </w:p>
    <w:p>
      <w:pPr>
        <w:pStyle w:val="BodyText"/>
        <w:spacing w:line="491" w:lineRule="auto" w:before="1"/>
        <w:ind w:left="1467" w:right="2194"/>
      </w:pPr>
      <w:r>
        <w:rPr>
          <w:w w:val="105"/>
          <w:u w:val="single"/>
        </w:rPr>
        <w:t>mesi </w:t>
      </w:r>
      <w:r>
        <w:rPr>
          <w:w w:val="105"/>
        </w:rPr>
        <w:t>dalla Data di Omologazione, salva autorizzazione a riparti anticipati;</w:t>
      </w:r>
    </w:p>
    <w:p>
      <w:pPr>
        <w:pStyle w:val="ListParagraph"/>
        <w:numPr>
          <w:ilvl w:val="0"/>
          <w:numId w:val="28"/>
        </w:numPr>
        <w:tabs>
          <w:tab w:pos="1467" w:val="left" w:leader="none"/>
          <w:tab w:pos="1468" w:val="left" w:leader="none"/>
        </w:tabs>
        <w:spacing w:line="240" w:lineRule="auto" w:before="1" w:after="0"/>
        <w:ind w:left="1467" w:right="0" w:hanging="400"/>
        <w:jc w:val="left"/>
        <w:rPr>
          <w:sz w:val="22"/>
        </w:rPr>
      </w:pPr>
      <w:r>
        <w:rPr>
          <w:b/>
          <w:w w:val="105"/>
          <w:sz w:val="22"/>
          <w:u w:val="single"/>
        </w:rPr>
        <w:t>Classe   2,   con   diritto   di   voto</w:t>
      </w:r>
      <w:r>
        <w:rPr>
          <w:w w:val="105"/>
          <w:sz w:val="22"/>
        </w:rPr>
        <w:t>,   composta   dal</w:t>
      </w:r>
      <w:r>
        <w:rPr>
          <w:spacing w:val="15"/>
          <w:w w:val="105"/>
          <w:sz w:val="22"/>
        </w:rPr>
        <w:t> </w:t>
      </w:r>
      <w:r>
        <w:rPr>
          <w:w w:val="105"/>
          <w:sz w:val="22"/>
        </w:rPr>
        <w:t>creditore</w:t>
      </w:r>
    </w:p>
    <w:p>
      <w:pPr>
        <w:pStyle w:val="BodyText"/>
        <w:spacing w:before="10"/>
        <w:rPr>
          <w:sz w:val="13"/>
        </w:rPr>
      </w:pPr>
    </w:p>
    <w:p>
      <w:pPr>
        <w:pStyle w:val="BodyText"/>
        <w:spacing w:line="491" w:lineRule="auto" w:before="105"/>
        <w:ind w:left="1467" w:right="2196"/>
        <w:jc w:val="both"/>
      </w:pPr>
      <w:r>
        <w:rPr>
          <w:w w:val="105"/>
        </w:rPr>
        <w:t>postergato</w:t>
      </w:r>
      <w:r>
        <w:rPr>
          <w:spacing w:val="-19"/>
          <w:w w:val="105"/>
        </w:rPr>
        <w:t> </w:t>
      </w:r>
      <w:r>
        <w:rPr>
          <w:w w:val="105"/>
        </w:rPr>
        <w:t>volontariamente</w:t>
      </w:r>
      <w:r>
        <w:rPr>
          <w:spacing w:val="-19"/>
          <w:w w:val="105"/>
        </w:rPr>
        <w:t> </w:t>
      </w:r>
      <w:r>
        <w:rPr>
          <w:w w:val="105"/>
        </w:rPr>
        <w:t>Novozymes</w:t>
      </w:r>
      <w:r>
        <w:rPr>
          <w:spacing w:val="-19"/>
          <w:w w:val="105"/>
        </w:rPr>
        <w:t> </w:t>
      </w:r>
      <w:r>
        <w:rPr>
          <w:w w:val="105"/>
        </w:rPr>
        <w:t>A/S,</w:t>
      </w:r>
      <w:r>
        <w:rPr>
          <w:spacing w:val="-19"/>
          <w:w w:val="105"/>
        </w:rPr>
        <w:t> </w:t>
      </w:r>
      <w:r>
        <w:rPr>
          <w:w w:val="105"/>
        </w:rPr>
        <w:t>con</w:t>
      </w:r>
      <w:r>
        <w:rPr>
          <w:spacing w:val="-19"/>
          <w:w w:val="105"/>
        </w:rPr>
        <w:t> </w:t>
      </w:r>
      <w:r>
        <w:rPr>
          <w:w w:val="105"/>
        </w:rPr>
        <w:t>pagamento</w:t>
      </w:r>
      <w:r>
        <w:rPr>
          <w:spacing w:val="-18"/>
          <w:w w:val="105"/>
        </w:rPr>
        <w:t> </w:t>
      </w:r>
      <w:r>
        <w:rPr>
          <w:w w:val="105"/>
        </w:rPr>
        <w:t>in una percentuale minima, non assicurata, pari al 17,92 % del rispettivo credito, da corrispondersi, nei termini e modalità di cui all’impegno di postergazione ed entro il 31 dicembre  </w:t>
      </w:r>
      <w:r>
        <w:rPr>
          <w:spacing w:val="8"/>
          <w:w w:val="105"/>
        </w:rPr>
        <w:t> </w:t>
      </w:r>
      <w:r>
        <w:rPr>
          <w:w w:val="105"/>
        </w:rPr>
        <w:t>2024</w:t>
      </w:r>
    </w:p>
    <w:p>
      <w:pPr>
        <w:spacing w:after="0" w:line="491" w:lineRule="auto"/>
        <w:jc w:val="both"/>
        <w:sectPr>
          <w:pgSz w:w="12240" w:h="15840"/>
          <w:pgMar w:header="0" w:footer="790" w:top="1500" w:bottom="980" w:left="1720" w:right="1200"/>
        </w:sectPr>
      </w:pPr>
    </w:p>
    <w:p>
      <w:pPr>
        <w:pStyle w:val="BodyText"/>
        <w:spacing w:line="491" w:lineRule="auto" w:before="105"/>
        <w:ind w:left="1467" w:right="2200"/>
      </w:pPr>
      <w:r>
        <w:rPr>
          <w:w w:val="105"/>
        </w:rPr>
        <w:t>(termine ultimo per il pagamento dell’eventuale Earn Out Versalis);</w:t>
      </w:r>
    </w:p>
    <w:p>
      <w:pPr>
        <w:pStyle w:val="ListParagraph"/>
        <w:numPr>
          <w:ilvl w:val="0"/>
          <w:numId w:val="28"/>
        </w:numPr>
        <w:tabs>
          <w:tab w:pos="1467" w:val="left" w:leader="none"/>
          <w:tab w:pos="1468" w:val="left" w:leader="none"/>
        </w:tabs>
        <w:spacing w:line="456" w:lineRule="auto" w:before="0" w:after="0"/>
        <w:ind w:left="1467" w:right="2198" w:hanging="400"/>
        <w:jc w:val="left"/>
        <w:rPr>
          <w:sz w:val="22"/>
        </w:rPr>
      </w:pPr>
      <w:r>
        <w:rPr>
          <w:b/>
          <w:sz w:val="22"/>
          <w:u w:val="single"/>
        </w:rPr>
        <w:t>Classe 3, senza diritto di voto </w:t>
      </w:r>
      <w:r>
        <w:rPr>
          <w:b/>
          <w:i/>
          <w:sz w:val="24"/>
          <w:u w:val="single"/>
        </w:rPr>
        <w:t>ex lege</w:t>
      </w:r>
      <w:r>
        <w:rPr>
          <w:sz w:val="22"/>
        </w:rPr>
        <w:t>, composta dai creditori finanziari </w:t>
      </w:r>
      <w:r>
        <w:rPr>
          <w:i/>
          <w:sz w:val="22"/>
        </w:rPr>
        <w:t>ab origine </w:t>
      </w:r>
      <w:r>
        <w:rPr>
          <w:sz w:val="22"/>
        </w:rPr>
        <w:t>(i.e. M&amp;G Finanziaria e </w:t>
      </w:r>
      <w:r>
        <w:rPr>
          <w:spacing w:val="35"/>
          <w:sz w:val="22"/>
        </w:rPr>
        <w:t> </w:t>
      </w:r>
      <w:r>
        <w:rPr>
          <w:sz w:val="22"/>
        </w:rPr>
        <w:t>M&amp;G).</w:t>
      </w:r>
    </w:p>
    <w:p>
      <w:pPr>
        <w:pStyle w:val="BodyText"/>
        <w:spacing w:line="491" w:lineRule="auto" w:before="38"/>
        <w:ind w:left="400" w:right="2195"/>
        <w:jc w:val="both"/>
      </w:pPr>
      <w:r>
        <w:rPr>
          <w:w w:val="105"/>
        </w:rPr>
        <w:t>Queste essendo le classi che la Società ha ritenuto di costituire, occorre precisare, in linea generale, che la loro formazione è soggetta a tre requisiti.</w:t>
      </w:r>
    </w:p>
    <w:p>
      <w:pPr>
        <w:pStyle w:val="BodyText"/>
        <w:spacing w:line="491" w:lineRule="auto"/>
        <w:ind w:left="400" w:right="2195"/>
        <w:jc w:val="both"/>
      </w:pPr>
      <w:r>
        <w:rPr>
          <w:w w:val="105"/>
        </w:rPr>
        <w:t>Il primo è che la formazione delle classi deve essere esplicita, nel senso che va dichiarato trattarsi di un concordato “con classi”, precisando, eventualmente in sede di chiarimenti ai sensi dell’art. 162, comma 1, legge fall.,</w:t>
      </w:r>
      <w:r>
        <w:rPr>
          <w:spacing w:val="-9"/>
          <w:w w:val="105"/>
        </w:rPr>
        <w:t> </w:t>
      </w:r>
      <w:r>
        <w:rPr>
          <w:w w:val="105"/>
        </w:rPr>
        <w:t>quali</w:t>
      </w:r>
      <w:r>
        <w:rPr>
          <w:spacing w:val="-8"/>
          <w:w w:val="105"/>
        </w:rPr>
        <w:t> </w:t>
      </w:r>
      <w:r>
        <w:rPr>
          <w:w w:val="105"/>
        </w:rPr>
        <w:t>siano</w:t>
      </w:r>
      <w:r>
        <w:rPr>
          <w:spacing w:val="-8"/>
          <w:w w:val="105"/>
        </w:rPr>
        <w:t> </w:t>
      </w:r>
      <w:r>
        <w:rPr>
          <w:w w:val="105"/>
        </w:rPr>
        <w:t>i</w:t>
      </w:r>
      <w:r>
        <w:rPr>
          <w:spacing w:val="-8"/>
          <w:w w:val="105"/>
        </w:rPr>
        <w:t> </w:t>
      </w:r>
      <w:r>
        <w:rPr>
          <w:w w:val="105"/>
        </w:rPr>
        <w:t>criteri</w:t>
      </w:r>
      <w:r>
        <w:rPr>
          <w:spacing w:val="-9"/>
          <w:w w:val="105"/>
        </w:rPr>
        <w:t> </w:t>
      </w:r>
      <w:r>
        <w:rPr>
          <w:w w:val="105"/>
        </w:rPr>
        <w:t>d’attribuzione</w:t>
      </w:r>
      <w:r>
        <w:rPr>
          <w:spacing w:val="-6"/>
          <w:w w:val="105"/>
        </w:rPr>
        <w:t> </w:t>
      </w:r>
      <w:r>
        <w:rPr>
          <w:w w:val="105"/>
        </w:rPr>
        <w:t>di</w:t>
      </w:r>
      <w:r>
        <w:rPr>
          <w:spacing w:val="-8"/>
          <w:w w:val="105"/>
        </w:rPr>
        <w:t> </w:t>
      </w:r>
      <w:r>
        <w:rPr>
          <w:w w:val="105"/>
        </w:rPr>
        <w:t>ciascun</w:t>
      </w:r>
      <w:r>
        <w:rPr>
          <w:spacing w:val="-9"/>
          <w:w w:val="105"/>
        </w:rPr>
        <w:t> </w:t>
      </w:r>
      <w:r>
        <w:rPr>
          <w:w w:val="105"/>
        </w:rPr>
        <w:t>creditore</w:t>
      </w:r>
      <w:r>
        <w:rPr>
          <w:spacing w:val="-10"/>
          <w:w w:val="105"/>
        </w:rPr>
        <w:t> </w:t>
      </w:r>
      <w:r>
        <w:rPr>
          <w:w w:val="105"/>
        </w:rPr>
        <w:t>alle</w:t>
      </w:r>
      <w:r>
        <w:rPr>
          <w:spacing w:val="-7"/>
          <w:w w:val="105"/>
        </w:rPr>
        <w:t> </w:t>
      </w:r>
      <w:r>
        <w:rPr>
          <w:w w:val="105"/>
        </w:rPr>
        <w:t>singole</w:t>
      </w:r>
      <w:r>
        <w:rPr>
          <w:spacing w:val="-9"/>
          <w:w w:val="105"/>
        </w:rPr>
        <w:t> </w:t>
      </w:r>
      <w:r>
        <w:rPr>
          <w:w w:val="105"/>
        </w:rPr>
        <w:t>classi, pena l’inammissibilità della proposta (Trib. Ascoli Piceno, 4 marzo 2011; Trib. Milano, 4 dicembre 2008; Trib. Brescia, 4 giugno 2008; Trib. </w:t>
      </w:r>
      <w:r>
        <w:rPr>
          <w:spacing w:val="1"/>
          <w:w w:val="105"/>
        </w:rPr>
        <w:t> </w:t>
      </w:r>
      <w:r>
        <w:rPr>
          <w:w w:val="105"/>
        </w:rPr>
        <w:t>Milano,</w:t>
      </w:r>
    </w:p>
    <w:p>
      <w:pPr>
        <w:pStyle w:val="BodyText"/>
        <w:spacing w:before="1"/>
        <w:ind w:left="400"/>
        <w:jc w:val="both"/>
      </w:pPr>
      <w:r>
        <w:rPr>
          <w:w w:val="105"/>
        </w:rPr>
        <w:t>26 giugno 2007).</w:t>
      </w:r>
    </w:p>
    <w:p>
      <w:pPr>
        <w:pStyle w:val="BodyText"/>
        <w:spacing w:before="1"/>
        <w:rPr>
          <w:sz w:val="23"/>
        </w:rPr>
      </w:pPr>
    </w:p>
    <w:p>
      <w:pPr>
        <w:pStyle w:val="BodyText"/>
        <w:spacing w:line="491" w:lineRule="auto"/>
        <w:ind w:left="400" w:right="2195"/>
        <w:jc w:val="both"/>
      </w:pPr>
      <w:r>
        <w:rPr>
          <w:w w:val="105"/>
        </w:rPr>
        <w:t>Il secondo è che gli elementi identificativi delle classi devono essere riconoscibili e ragionevoli, essendo necessario che l’appartenenza dei creditori ad una classe dipenda da un tratto di comunanza, che la loro collocazione nella classe risponda a dati omogenei e che questi dati si fondino su criteri razionali, non arbitrari e non indifferenti rispetto al piano concordatario (Cass., 10 febbraio 2011, n. 3274; Cass., 4 febbraio 2009,   n.</w:t>
      </w:r>
    </w:p>
    <w:p>
      <w:pPr>
        <w:pStyle w:val="BodyText"/>
        <w:ind w:left="400"/>
        <w:jc w:val="both"/>
      </w:pPr>
      <w:r>
        <w:rPr>
          <w:w w:val="105"/>
        </w:rPr>
        <w:t>2706; App. Genova, 23 dicembre 2011; D’ORAZIO, p. 982).</w:t>
      </w:r>
    </w:p>
    <w:p>
      <w:pPr>
        <w:pStyle w:val="BodyText"/>
        <w:spacing w:before="2"/>
        <w:rPr>
          <w:sz w:val="23"/>
        </w:rPr>
      </w:pPr>
    </w:p>
    <w:p>
      <w:pPr>
        <w:pStyle w:val="BodyText"/>
        <w:spacing w:line="491" w:lineRule="auto"/>
        <w:ind w:left="400" w:right="2195"/>
        <w:jc w:val="both"/>
      </w:pPr>
      <w:r>
        <w:rPr>
          <w:w w:val="105"/>
        </w:rPr>
        <w:t>Il terzo è che l’esistenza di classi distinte deve avere una precisa giustificazione nel quadro complessivo della proposta, dovendo pertanto essere chiarito perché i creditori appartenenti ad una certa classe hanno un trattamento</w:t>
      </w:r>
      <w:r>
        <w:rPr>
          <w:spacing w:val="-15"/>
          <w:w w:val="105"/>
        </w:rPr>
        <w:t> </w:t>
      </w:r>
      <w:r>
        <w:rPr>
          <w:w w:val="105"/>
        </w:rPr>
        <w:t>diverso</w:t>
      </w:r>
      <w:r>
        <w:rPr>
          <w:spacing w:val="-16"/>
          <w:w w:val="105"/>
        </w:rPr>
        <w:t> </w:t>
      </w:r>
      <w:r>
        <w:rPr>
          <w:w w:val="105"/>
        </w:rPr>
        <w:t>rispetto</w:t>
      </w:r>
      <w:r>
        <w:rPr>
          <w:spacing w:val="-16"/>
          <w:w w:val="105"/>
        </w:rPr>
        <w:t> </w:t>
      </w:r>
      <w:r>
        <w:rPr>
          <w:w w:val="105"/>
        </w:rPr>
        <w:t>a</w:t>
      </w:r>
      <w:r>
        <w:rPr>
          <w:spacing w:val="-16"/>
          <w:w w:val="105"/>
        </w:rPr>
        <w:t> </w:t>
      </w:r>
      <w:r>
        <w:rPr>
          <w:w w:val="105"/>
        </w:rPr>
        <w:t>quelli</w:t>
      </w:r>
      <w:r>
        <w:rPr>
          <w:spacing w:val="-16"/>
          <w:w w:val="105"/>
        </w:rPr>
        <w:t> </w:t>
      </w:r>
      <w:r>
        <w:rPr>
          <w:w w:val="105"/>
        </w:rPr>
        <w:t>di</w:t>
      </w:r>
      <w:r>
        <w:rPr>
          <w:spacing w:val="-16"/>
          <w:w w:val="105"/>
        </w:rPr>
        <w:t> </w:t>
      </w:r>
      <w:r>
        <w:rPr>
          <w:w w:val="105"/>
        </w:rPr>
        <w:t>altra</w:t>
      </w:r>
      <w:r>
        <w:rPr>
          <w:spacing w:val="-15"/>
          <w:w w:val="105"/>
        </w:rPr>
        <w:t> </w:t>
      </w:r>
      <w:r>
        <w:rPr>
          <w:w w:val="105"/>
        </w:rPr>
        <w:t>classe</w:t>
      </w:r>
      <w:r>
        <w:rPr>
          <w:spacing w:val="-16"/>
          <w:w w:val="105"/>
        </w:rPr>
        <w:t> </w:t>
      </w:r>
      <w:r>
        <w:rPr>
          <w:w w:val="105"/>
        </w:rPr>
        <w:t>oppure</w:t>
      </w:r>
      <w:r>
        <w:rPr>
          <w:spacing w:val="-15"/>
          <w:w w:val="105"/>
        </w:rPr>
        <w:t> </w:t>
      </w:r>
      <w:r>
        <w:rPr>
          <w:w w:val="105"/>
        </w:rPr>
        <w:t>perché</w:t>
      </w:r>
      <w:r>
        <w:rPr>
          <w:spacing w:val="-15"/>
          <w:w w:val="105"/>
        </w:rPr>
        <w:t> </w:t>
      </w:r>
      <w:r>
        <w:rPr>
          <w:w w:val="105"/>
        </w:rPr>
        <w:t>sia</w:t>
      </w:r>
      <w:r>
        <w:rPr>
          <w:spacing w:val="-16"/>
          <w:w w:val="105"/>
        </w:rPr>
        <w:t> </w:t>
      </w:r>
      <w:r>
        <w:rPr>
          <w:w w:val="105"/>
        </w:rPr>
        <w:t>previsto</w:t>
      </w:r>
    </w:p>
    <w:p>
      <w:pPr>
        <w:spacing w:after="0" w:line="491" w:lineRule="auto"/>
        <w:jc w:val="both"/>
        <w:sectPr>
          <w:pgSz w:w="12240" w:h="15840"/>
          <w:pgMar w:header="0" w:footer="790" w:top="1500" w:bottom="980" w:left="1720" w:right="1200"/>
        </w:sectPr>
      </w:pPr>
    </w:p>
    <w:p>
      <w:pPr>
        <w:pStyle w:val="BodyText"/>
        <w:spacing w:line="491" w:lineRule="auto" w:before="105"/>
        <w:ind w:left="400" w:right="2195"/>
        <w:jc w:val="both"/>
      </w:pPr>
      <w:r>
        <w:rPr>
          <w:w w:val="105"/>
        </w:rPr>
        <w:t>lo</w:t>
      </w:r>
      <w:r>
        <w:rPr>
          <w:spacing w:val="-5"/>
          <w:w w:val="105"/>
        </w:rPr>
        <w:t> </w:t>
      </w:r>
      <w:r>
        <w:rPr>
          <w:w w:val="105"/>
        </w:rPr>
        <w:t>stesso</w:t>
      </w:r>
      <w:r>
        <w:rPr>
          <w:spacing w:val="-6"/>
          <w:w w:val="105"/>
        </w:rPr>
        <w:t> </w:t>
      </w:r>
      <w:r>
        <w:rPr>
          <w:w w:val="105"/>
        </w:rPr>
        <w:t>trattamento</w:t>
      </w:r>
      <w:r>
        <w:rPr>
          <w:spacing w:val="-6"/>
          <w:w w:val="105"/>
        </w:rPr>
        <w:t> </w:t>
      </w:r>
      <w:r>
        <w:rPr>
          <w:w w:val="105"/>
        </w:rPr>
        <w:t>a</w:t>
      </w:r>
      <w:r>
        <w:rPr>
          <w:spacing w:val="-5"/>
          <w:w w:val="105"/>
        </w:rPr>
        <w:t> </w:t>
      </w:r>
      <w:r>
        <w:rPr>
          <w:w w:val="105"/>
        </w:rPr>
        <w:t>favore</w:t>
      </w:r>
      <w:r>
        <w:rPr>
          <w:spacing w:val="-6"/>
          <w:w w:val="105"/>
        </w:rPr>
        <w:t> </w:t>
      </w:r>
      <w:r>
        <w:rPr>
          <w:w w:val="105"/>
        </w:rPr>
        <w:t>di</w:t>
      </w:r>
      <w:r>
        <w:rPr>
          <w:spacing w:val="-5"/>
          <w:w w:val="105"/>
        </w:rPr>
        <w:t> </w:t>
      </w:r>
      <w:r>
        <w:rPr>
          <w:w w:val="105"/>
        </w:rPr>
        <w:t>creditori</w:t>
      </w:r>
      <w:r>
        <w:rPr>
          <w:spacing w:val="-6"/>
          <w:w w:val="105"/>
        </w:rPr>
        <w:t> </w:t>
      </w:r>
      <w:r>
        <w:rPr>
          <w:w w:val="105"/>
        </w:rPr>
        <w:t>con</w:t>
      </w:r>
      <w:r>
        <w:rPr>
          <w:spacing w:val="-6"/>
          <w:w w:val="105"/>
        </w:rPr>
        <w:t> </w:t>
      </w:r>
      <w:r>
        <w:rPr>
          <w:w w:val="105"/>
        </w:rPr>
        <w:t>collocazione</w:t>
      </w:r>
      <w:r>
        <w:rPr>
          <w:spacing w:val="-6"/>
          <w:w w:val="105"/>
        </w:rPr>
        <w:t> </w:t>
      </w:r>
      <w:r>
        <w:rPr>
          <w:w w:val="105"/>
        </w:rPr>
        <w:t>diseguale,</w:t>
      </w:r>
      <w:r>
        <w:rPr>
          <w:spacing w:val="-5"/>
          <w:w w:val="105"/>
        </w:rPr>
        <w:t> </w:t>
      </w:r>
      <w:r>
        <w:rPr>
          <w:w w:val="105"/>
        </w:rPr>
        <w:t>fermo naturalmente il limite per cui non può essere sovvertito l’ordine delle prelazioni</w:t>
      </w:r>
      <w:r>
        <w:rPr>
          <w:spacing w:val="-21"/>
          <w:w w:val="105"/>
        </w:rPr>
        <w:t> </w:t>
      </w:r>
      <w:r>
        <w:rPr>
          <w:w w:val="105"/>
        </w:rPr>
        <w:t>(Trib.</w:t>
      </w:r>
      <w:r>
        <w:rPr>
          <w:spacing w:val="-22"/>
          <w:w w:val="105"/>
        </w:rPr>
        <w:t> </w:t>
      </w:r>
      <w:r>
        <w:rPr>
          <w:w w:val="105"/>
        </w:rPr>
        <w:t>Palermo,</w:t>
      </w:r>
      <w:r>
        <w:rPr>
          <w:spacing w:val="-22"/>
          <w:w w:val="105"/>
        </w:rPr>
        <w:t> </w:t>
      </w:r>
      <w:r>
        <w:rPr>
          <w:w w:val="105"/>
        </w:rPr>
        <w:t>17</w:t>
      </w:r>
      <w:r>
        <w:rPr>
          <w:spacing w:val="-22"/>
          <w:w w:val="105"/>
        </w:rPr>
        <w:t> </w:t>
      </w:r>
      <w:r>
        <w:rPr>
          <w:w w:val="105"/>
        </w:rPr>
        <w:t>febbraio</w:t>
      </w:r>
      <w:r>
        <w:rPr>
          <w:spacing w:val="-22"/>
          <w:w w:val="105"/>
        </w:rPr>
        <w:t> </w:t>
      </w:r>
      <w:r>
        <w:rPr>
          <w:w w:val="105"/>
        </w:rPr>
        <w:t>2006).</w:t>
      </w:r>
    </w:p>
    <w:p>
      <w:pPr>
        <w:pStyle w:val="BodyText"/>
        <w:spacing w:line="491" w:lineRule="auto"/>
        <w:ind w:left="400" w:right="2196"/>
        <w:jc w:val="both"/>
      </w:pPr>
      <w:r>
        <w:rPr>
          <w:w w:val="105"/>
        </w:rPr>
        <w:t>Una volta formate, le classi costituiscono un complesso per sua natura unitario, contraddistinto da assoluta omogeneità, sicché il voto dei componenti d’una classe dev’essere valutato </w:t>
      </w:r>
      <w:r>
        <w:rPr>
          <w:i/>
          <w:w w:val="105"/>
        </w:rPr>
        <w:t>ex se</w:t>
      </w:r>
      <w:r>
        <w:rPr>
          <w:w w:val="105"/>
        </w:rPr>
        <w:t>, senza possibilità di scrutinare,</w:t>
      </w:r>
      <w:r>
        <w:rPr>
          <w:spacing w:val="-7"/>
          <w:w w:val="105"/>
        </w:rPr>
        <w:t> </w:t>
      </w:r>
      <w:r>
        <w:rPr>
          <w:w w:val="105"/>
        </w:rPr>
        <w:t>all’interno</w:t>
      </w:r>
      <w:r>
        <w:rPr>
          <w:spacing w:val="-7"/>
          <w:w w:val="105"/>
        </w:rPr>
        <w:t> </w:t>
      </w:r>
      <w:r>
        <w:rPr>
          <w:w w:val="105"/>
        </w:rPr>
        <w:t>della</w:t>
      </w:r>
      <w:r>
        <w:rPr>
          <w:spacing w:val="-7"/>
          <w:w w:val="105"/>
        </w:rPr>
        <w:t> </w:t>
      </w:r>
      <w:r>
        <w:rPr>
          <w:w w:val="105"/>
        </w:rPr>
        <w:t>classe,</w:t>
      </w:r>
      <w:r>
        <w:rPr>
          <w:spacing w:val="-7"/>
          <w:w w:val="105"/>
        </w:rPr>
        <w:t> </w:t>
      </w:r>
      <w:r>
        <w:rPr>
          <w:w w:val="105"/>
        </w:rPr>
        <w:t>un’eventuale</w:t>
      </w:r>
      <w:r>
        <w:rPr>
          <w:spacing w:val="-7"/>
          <w:w w:val="105"/>
        </w:rPr>
        <w:t> </w:t>
      </w:r>
      <w:r>
        <w:rPr>
          <w:w w:val="105"/>
        </w:rPr>
        <w:t>divergenza</w:t>
      </w:r>
      <w:r>
        <w:rPr>
          <w:spacing w:val="-7"/>
          <w:w w:val="105"/>
        </w:rPr>
        <w:t> </w:t>
      </w:r>
      <w:r>
        <w:rPr>
          <w:w w:val="105"/>
        </w:rPr>
        <w:t>o</w:t>
      </w:r>
      <w:r>
        <w:rPr>
          <w:spacing w:val="-7"/>
          <w:w w:val="105"/>
        </w:rPr>
        <w:t> </w:t>
      </w:r>
      <w:r>
        <w:rPr>
          <w:w w:val="105"/>
        </w:rPr>
        <w:t>confliggenza</w:t>
      </w:r>
      <w:r>
        <w:rPr>
          <w:spacing w:val="-7"/>
          <w:w w:val="105"/>
        </w:rPr>
        <w:t> </w:t>
      </w:r>
      <w:r>
        <w:rPr>
          <w:w w:val="105"/>
        </w:rPr>
        <w:t>di interessi tra i componenti (Cass., 10 febbraio 2011, n. 3274); ciò naturalmente a condizione che la classe sia stata correttamente formata e che, in presenza di più classi, venga registrata la maggioranza dei voti in ciascuna</w:t>
      </w:r>
      <w:r>
        <w:rPr>
          <w:spacing w:val="-16"/>
          <w:w w:val="105"/>
        </w:rPr>
        <w:t> </w:t>
      </w:r>
      <w:r>
        <w:rPr>
          <w:w w:val="105"/>
        </w:rPr>
        <w:t>di</w:t>
      </w:r>
      <w:r>
        <w:rPr>
          <w:spacing w:val="-15"/>
          <w:w w:val="105"/>
        </w:rPr>
        <w:t> </w:t>
      </w:r>
      <w:r>
        <w:rPr>
          <w:w w:val="105"/>
        </w:rPr>
        <w:t>esse</w:t>
      </w:r>
      <w:r>
        <w:rPr>
          <w:spacing w:val="-15"/>
          <w:w w:val="105"/>
        </w:rPr>
        <w:t> </w:t>
      </w:r>
      <w:r>
        <w:rPr>
          <w:w w:val="105"/>
        </w:rPr>
        <w:t>Trib.</w:t>
      </w:r>
      <w:r>
        <w:rPr>
          <w:spacing w:val="-16"/>
          <w:w w:val="105"/>
        </w:rPr>
        <w:t> </w:t>
      </w:r>
      <w:r>
        <w:rPr>
          <w:w w:val="105"/>
        </w:rPr>
        <w:t>Roma,</w:t>
      </w:r>
      <w:r>
        <w:rPr>
          <w:spacing w:val="-15"/>
          <w:w w:val="105"/>
        </w:rPr>
        <w:t> </w:t>
      </w:r>
      <w:r>
        <w:rPr>
          <w:w w:val="105"/>
        </w:rPr>
        <w:t>23</w:t>
      </w:r>
      <w:r>
        <w:rPr>
          <w:spacing w:val="-15"/>
          <w:w w:val="105"/>
        </w:rPr>
        <w:t> </w:t>
      </w:r>
      <w:r>
        <w:rPr>
          <w:w w:val="105"/>
        </w:rPr>
        <w:t>ottobre</w:t>
      </w:r>
      <w:r>
        <w:rPr>
          <w:spacing w:val="-15"/>
          <w:w w:val="105"/>
        </w:rPr>
        <w:t> </w:t>
      </w:r>
      <w:r>
        <w:rPr>
          <w:w w:val="105"/>
        </w:rPr>
        <w:t>2006).</w:t>
      </w:r>
    </w:p>
    <w:p>
      <w:pPr>
        <w:pStyle w:val="BodyText"/>
        <w:spacing w:line="491" w:lineRule="auto"/>
        <w:ind w:left="400" w:right="2197"/>
        <w:jc w:val="both"/>
      </w:pPr>
      <w:r>
        <w:rPr>
          <w:w w:val="105"/>
        </w:rPr>
        <w:t>Tanto precisato, le Classi sono state formate sulla base dei criteri sopra evidenziati.</w:t>
      </w:r>
    </w:p>
    <w:p>
      <w:pPr>
        <w:pStyle w:val="BodyText"/>
        <w:spacing w:before="1"/>
        <w:ind w:left="400"/>
        <w:jc w:val="both"/>
      </w:pPr>
      <w:r>
        <w:rPr>
          <w:w w:val="105"/>
        </w:rPr>
        <w:t>Più nel dettaglio:</w:t>
      </w:r>
    </w:p>
    <w:p>
      <w:pPr>
        <w:pStyle w:val="BodyText"/>
        <w:spacing w:before="2"/>
        <w:rPr>
          <w:sz w:val="23"/>
        </w:rPr>
      </w:pPr>
    </w:p>
    <w:p>
      <w:pPr>
        <w:pStyle w:val="ListParagraph"/>
        <w:numPr>
          <w:ilvl w:val="0"/>
          <w:numId w:val="29"/>
        </w:numPr>
        <w:tabs>
          <w:tab w:pos="1078" w:val="left" w:leader="none"/>
          <w:tab w:pos="1079" w:val="left" w:leader="none"/>
        </w:tabs>
        <w:spacing w:line="240" w:lineRule="auto" w:before="0" w:after="0"/>
        <w:ind w:left="1078" w:right="0" w:hanging="340"/>
        <w:jc w:val="left"/>
        <w:rPr>
          <w:sz w:val="22"/>
        </w:rPr>
      </w:pPr>
      <w:r>
        <w:rPr>
          <w:w w:val="105"/>
          <w:sz w:val="22"/>
        </w:rPr>
        <w:t>la </w:t>
      </w:r>
      <w:r>
        <w:rPr>
          <w:b/>
          <w:w w:val="105"/>
          <w:sz w:val="22"/>
          <w:u w:val="single"/>
        </w:rPr>
        <w:t>Classe 1</w:t>
      </w:r>
      <w:r>
        <w:rPr>
          <w:w w:val="105"/>
          <w:sz w:val="22"/>
        </w:rPr>
        <w:t>, composta dai crediti chirografari diversi da quelli di</w:t>
      </w:r>
      <w:r>
        <w:rPr>
          <w:spacing w:val="-23"/>
          <w:w w:val="105"/>
          <w:sz w:val="22"/>
        </w:rPr>
        <w:t> </w:t>
      </w:r>
      <w:r>
        <w:rPr>
          <w:w w:val="105"/>
          <w:sz w:val="22"/>
        </w:rPr>
        <w:t>cui</w:t>
      </w:r>
    </w:p>
    <w:p>
      <w:pPr>
        <w:pStyle w:val="BodyText"/>
        <w:spacing w:before="9"/>
        <w:rPr>
          <w:sz w:val="13"/>
        </w:rPr>
      </w:pPr>
    </w:p>
    <w:p>
      <w:pPr>
        <w:pStyle w:val="BodyText"/>
        <w:spacing w:line="491" w:lineRule="auto" w:before="105"/>
        <w:ind w:left="1078" w:right="2246"/>
        <w:jc w:val="both"/>
      </w:pPr>
      <w:r>
        <w:rPr>
          <w:w w:val="105"/>
        </w:rPr>
        <w:t>alla classe 2 e alla classe 3, con pagamento in una percentuale assicurata e garantita pari al 20% del rispettivo credito, da corrispondersi nella misura del relativo 50% </w:t>
      </w:r>
      <w:r>
        <w:rPr>
          <w:w w:val="105"/>
          <w:u w:val="single"/>
        </w:rPr>
        <w:t>entro 3 (tre) mesi </w:t>
      </w:r>
      <w:r>
        <w:rPr>
          <w:w w:val="105"/>
        </w:rPr>
        <w:t>dal Decreto di Omologazione e, quanto all’ulteriore 25% </w:t>
      </w:r>
      <w:r>
        <w:rPr>
          <w:w w:val="105"/>
          <w:u w:val="single"/>
        </w:rPr>
        <w:t>entro 15 (quindici)</w:t>
      </w:r>
      <w:r>
        <w:rPr>
          <w:spacing w:val="-14"/>
          <w:w w:val="105"/>
          <w:u w:val="single"/>
        </w:rPr>
        <w:t> </w:t>
      </w:r>
      <w:r>
        <w:rPr>
          <w:w w:val="105"/>
          <w:u w:val="single"/>
        </w:rPr>
        <w:t>mesi</w:t>
      </w:r>
      <w:r>
        <w:rPr>
          <w:spacing w:val="-14"/>
          <w:w w:val="105"/>
          <w:u w:val="single"/>
        </w:rPr>
        <w:t> </w:t>
      </w:r>
      <w:r>
        <w:rPr>
          <w:w w:val="105"/>
        </w:rPr>
        <w:t>dalla</w:t>
      </w:r>
      <w:r>
        <w:rPr>
          <w:spacing w:val="-14"/>
          <w:w w:val="105"/>
        </w:rPr>
        <w:t> </w:t>
      </w:r>
      <w:r>
        <w:rPr>
          <w:w w:val="105"/>
        </w:rPr>
        <w:t>Data</w:t>
      </w:r>
      <w:r>
        <w:rPr>
          <w:spacing w:val="-14"/>
          <w:w w:val="105"/>
        </w:rPr>
        <w:t> </w:t>
      </w:r>
      <w:r>
        <w:rPr>
          <w:w w:val="105"/>
        </w:rPr>
        <w:t>di</w:t>
      </w:r>
      <w:r>
        <w:rPr>
          <w:spacing w:val="-14"/>
          <w:w w:val="105"/>
        </w:rPr>
        <w:t> </w:t>
      </w:r>
      <w:r>
        <w:rPr>
          <w:w w:val="105"/>
        </w:rPr>
        <w:t>Omologazione</w:t>
      </w:r>
      <w:r>
        <w:rPr>
          <w:spacing w:val="-13"/>
          <w:w w:val="105"/>
        </w:rPr>
        <w:t> </w:t>
      </w:r>
      <w:r>
        <w:rPr>
          <w:w w:val="105"/>
        </w:rPr>
        <w:t>e,</w:t>
      </w:r>
      <w:r>
        <w:rPr>
          <w:spacing w:val="-14"/>
          <w:w w:val="105"/>
        </w:rPr>
        <w:t> </w:t>
      </w:r>
      <w:r>
        <w:rPr>
          <w:w w:val="105"/>
        </w:rPr>
        <w:t>infine,</w:t>
      </w:r>
      <w:r>
        <w:rPr>
          <w:spacing w:val="-14"/>
          <w:w w:val="105"/>
        </w:rPr>
        <w:t> </w:t>
      </w:r>
      <w:r>
        <w:rPr>
          <w:w w:val="105"/>
        </w:rPr>
        <w:t>l’ulteriore</w:t>
      </w:r>
      <w:r>
        <w:rPr>
          <w:spacing w:val="-16"/>
          <w:w w:val="105"/>
        </w:rPr>
        <w:t> </w:t>
      </w:r>
      <w:r>
        <w:rPr>
          <w:w w:val="105"/>
        </w:rPr>
        <w:t>25%</w:t>
      </w:r>
    </w:p>
    <w:p>
      <w:pPr>
        <w:pStyle w:val="BodyText"/>
        <w:spacing w:line="491" w:lineRule="auto"/>
        <w:ind w:left="1078" w:right="2200"/>
      </w:pPr>
      <w:r>
        <w:rPr>
          <w:w w:val="105"/>
          <w:u w:val="single"/>
        </w:rPr>
        <w:t>entro 35 (trentacinque) mesi </w:t>
      </w:r>
      <w:r>
        <w:rPr>
          <w:w w:val="105"/>
        </w:rPr>
        <w:t>dalla Data di Omologazione, salva autorizzazione a riparti anticipati;</w:t>
      </w:r>
    </w:p>
    <w:p>
      <w:pPr>
        <w:pStyle w:val="ListParagraph"/>
        <w:numPr>
          <w:ilvl w:val="0"/>
          <w:numId w:val="29"/>
        </w:numPr>
        <w:tabs>
          <w:tab w:pos="1078" w:val="left" w:leader="none"/>
          <w:tab w:pos="1079" w:val="left" w:leader="none"/>
        </w:tabs>
        <w:spacing w:line="240" w:lineRule="auto" w:before="0" w:after="0"/>
        <w:ind w:left="1078" w:right="0" w:hanging="340"/>
        <w:jc w:val="left"/>
        <w:rPr>
          <w:sz w:val="22"/>
        </w:rPr>
      </w:pPr>
      <w:r>
        <w:rPr>
          <w:w w:val="105"/>
          <w:sz w:val="22"/>
        </w:rPr>
        <w:t>la  </w:t>
      </w:r>
      <w:r>
        <w:rPr>
          <w:b/>
          <w:w w:val="105"/>
          <w:sz w:val="22"/>
          <w:u w:val="single"/>
        </w:rPr>
        <w:t>Classe  2  </w:t>
      </w:r>
      <w:r>
        <w:rPr>
          <w:w w:val="105"/>
          <w:sz w:val="22"/>
        </w:rPr>
        <w:t>senza  diritto  di  voto,  composta  dal  solo </w:t>
      </w:r>
      <w:r>
        <w:rPr>
          <w:spacing w:val="13"/>
          <w:w w:val="105"/>
          <w:sz w:val="22"/>
        </w:rPr>
        <w:t> </w:t>
      </w:r>
      <w:r>
        <w:rPr>
          <w:w w:val="105"/>
          <w:sz w:val="22"/>
        </w:rPr>
        <w:t>creditore</w:t>
      </w:r>
    </w:p>
    <w:p>
      <w:pPr>
        <w:pStyle w:val="BodyText"/>
        <w:spacing w:before="9"/>
        <w:rPr>
          <w:sz w:val="13"/>
        </w:rPr>
      </w:pPr>
    </w:p>
    <w:p>
      <w:pPr>
        <w:pStyle w:val="BodyText"/>
        <w:spacing w:before="105"/>
        <w:ind w:left="1078"/>
      </w:pPr>
      <w:r>
        <w:rPr>
          <w:w w:val="105"/>
        </w:rPr>
        <w:t>postergato Novozymes, che, avendo sottoscritto la   Postergazione</w:t>
      </w:r>
    </w:p>
    <w:p>
      <w:pPr>
        <w:spacing w:after="0"/>
        <w:sectPr>
          <w:pgSz w:w="12240" w:h="15840"/>
          <w:pgMar w:header="0" w:footer="790" w:top="1500" w:bottom="980" w:left="1720" w:right="1200"/>
        </w:sectPr>
      </w:pPr>
    </w:p>
    <w:p>
      <w:pPr>
        <w:pStyle w:val="BodyText"/>
        <w:spacing w:line="491" w:lineRule="auto" w:before="105"/>
        <w:ind w:left="1078" w:right="2196"/>
        <w:jc w:val="both"/>
      </w:pPr>
      <w:r>
        <w:rPr>
          <w:w w:val="105"/>
        </w:rPr>
        <w:t>Novozymes, ha accettato che le proprie ragioni di credito venissero volontariamente postergate a quelle degli altri creditori, così acquisendo posizione giuridica ed interesse economico diverso;</w:t>
      </w:r>
    </w:p>
    <w:p>
      <w:pPr>
        <w:pStyle w:val="ListParagraph"/>
        <w:numPr>
          <w:ilvl w:val="0"/>
          <w:numId w:val="29"/>
        </w:numPr>
        <w:tabs>
          <w:tab w:pos="1078" w:val="left" w:leader="none"/>
          <w:tab w:pos="1079" w:val="left" w:leader="none"/>
        </w:tabs>
        <w:spacing w:line="240" w:lineRule="auto" w:before="0" w:after="0"/>
        <w:ind w:left="1078" w:right="0" w:hanging="340"/>
        <w:jc w:val="left"/>
        <w:rPr>
          <w:sz w:val="22"/>
        </w:rPr>
      </w:pPr>
      <w:r>
        <w:rPr>
          <w:w w:val="105"/>
          <w:sz w:val="22"/>
        </w:rPr>
        <w:t>la</w:t>
      </w:r>
      <w:r>
        <w:rPr>
          <w:spacing w:val="-17"/>
          <w:w w:val="105"/>
          <w:sz w:val="22"/>
        </w:rPr>
        <w:t> </w:t>
      </w:r>
      <w:r>
        <w:rPr>
          <w:b/>
          <w:w w:val="105"/>
          <w:sz w:val="22"/>
          <w:u w:val="single"/>
        </w:rPr>
        <w:t>Classe</w:t>
      </w:r>
      <w:r>
        <w:rPr>
          <w:b/>
          <w:spacing w:val="-17"/>
          <w:w w:val="105"/>
          <w:sz w:val="22"/>
          <w:u w:val="single"/>
        </w:rPr>
        <w:t> </w:t>
      </w:r>
      <w:r>
        <w:rPr>
          <w:b/>
          <w:w w:val="105"/>
          <w:sz w:val="22"/>
          <w:u w:val="single"/>
        </w:rPr>
        <w:t>3</w:t>
      </w:r>
      <w:r>
        <w:rPr>
          <w:w w:val="105"/>
          <w:sz w:val="22"/>
        </w:rPr>
        <w:t>,</w:t>
      </w:r>
      <w:r>
        <w:rPr>
          <w:spacing w:val="-17"/>
          <w:w w:val="105"/>
          <w:sz w:val="22"/>
        </w:rPr>
        <w:t> </w:t>
      </w:r>
      <w:r>
        <w:rPr>
          <w:w w:val="105"/>
          <w:sz w:val="22"/>
        </w:rPr>
        <w:t>composta</w:t>
      </w:r>
      <w:r>
        <w:rPr>
          <w:spacing w:val="-18"/>
          <w:w w:val="105"/>
          <w:sz w:val="22"/>
        </w:rPr>
        <w:t> </w:t>
      </w:r>
      <w:r>
        <w:rPr>
          <w:w w:val="105"/>
          <w:sz w:val="22"/>
        </w:rPr>
        <w:t>da</w:t>
      </w:r>
      <w:r>
        <w:rPr>
          <w:spacing w:val="-15"/>
          <w:w w:val="105"/>
          <w:sz w:val="22"/>
        </w:rPr>
        <w:t> </w:t>
      </w:r>
      <w:r>
        <w:rPr>
          <w:w w:val="105"/>
          <w:sz w:val="22"/>
        </w:rPr>
        <w:t>creditori</w:t>
      </w:r>
      <w:r>
        <w:rPr>
          <w:spacing w:val="-18"/>
          <w:w w:val="105"/>
          <w:sz w:val="22"/>
        </w:rPr>
        <w:t> </w:t>
      </w:r>
      <w:r>
        <w:rPr>
          <w:w w:val="105"/>
          <w:sz w:val="22"/>
        </w:rPr>
        <w:t>postergati</w:t>
      </w:r>
      <w:r>
        <w:rPr>
          <w:spacing w:val="-16"/>
          <w:w w:val="105"/>
          <w:sz w:val="22"/>
        </w:rPr>
        <w:t> </w:t>
      </w:r>
      <w:r>
        <w:rPr>
          <w:w w:val="105"/>
          <w:sz w:val="22"/>
        </w:rPr>
        <w:t>ex</w:t>
      </w:r>
      <w:r>
        <w:rPr>
          <w:spacing w:val="-17"/>
          <w:w w:val="105"/>
          <w:sz w:val="22"/>
        </w:rPr>
        <w:t> </w:t>
      </w:r>
      <w:r>
        <w:rPr>
          <w:w w:val="105"/>
          <w:sz w:val="22"/>
        </w:rPr>
        <w:t>lege.</w:t>
      </w:r>
    </w:p>
    <w:p>
      <w:pPr>
        <w:pStyle w:val="BodyText"/>
        <w:rPr>
          <w:sz w:val="14"/>
        </w:rPr>
      </w:pPr>
    </w:p>
    <w:p>
      <w:pPr>
        <w:pStyle w:val="BodyText"/>
        <w:spacing w:line="491" w:lineRule="auto" w:before="105"/>
        <w:ind w:left="400" w:right="2249"/>
        <w:jc w:val="both"/>
      </w:pPr>
      <w:r>
        <w:rPr>
          <w:w w:val="105"/>
        </w:rPr>
        <w:t>Merita svolgere alcune considerazioni sulla possibilità di destinare al creditore di società in concordato che si posterga volontariamente (i.e. Novozymes), una parte delle risorse, anche in presenza di un soddisfacimento percentuale dei creditori chirografari.</w:t>
      </w:r>
    </w:p>
    <w:p>
      <w:pPr>
        <w:spacing w:line="491" w:lineRule="auto" w:before="0"/>
        <w:ind w:left="400" w:right="2247" w:firstLine="0"/>
        <w:jc w:val="both"/>
        <w:rPr>
          <w:sz w:val="22"/>
        </w:rPr>
      </w:pPr>
      <w:r>
        <w:rPr>
          <w:w w:val="105"/>
          <w:sz w:val="22"/>
        </w:rPr>
        <w:t>Al riguardo si ritiene ammissibile questa costruzione in quanto “</w:t>
      </w:r>
      <w:r>
        <w:rPr>
          <w:i/>
          <w:w w:val="105"/>
          <w:sz w:val="22"/>
        </w:rPr>
        <w:t>se la </w:t>
      </w:r>
      <w:r>
        <w:rPr>
          <w:i/>
          <w:w w:val="105"/>
          <w:sz w:val="22"/>
        </w:rPr>
        <w:t>postergazione</w:t>
      </w:r>
      <w:r>
        <w:rPr>
          <w:i/>
          <w:spacing w:val="-12"/>
          <w:w w:val="105"/>
          <w:sz w:val="22"/>
        </w:rPr>
        <w:t> </w:t>
      </w:r>
      <w:r>
        <w:rPr>
          <w:i/>
          <w:w w:val="105"/>
          <w:sz w:val="22"/>
        </w:rPr>
        <w:t>è</w:t>
      </w:r>
      <w:r>
        <w:rPr>
          <w:i/>
          <w:spacing w:val="-12"/>
          <w:w w:val="105"/>
          <w:sz w:val="22"/>
        </w:rPr>
        <w:t> </w:t>
      </w:r>
      <w:r>
        <w:rPr>
          <w:i/>
          <w:w w:val="105"/>
          <w:sz w:val="22"/>
        </w:rPr>
        <w:t>volontaria</w:t>
      </w:r>
      <w:r>
        <w:rPr>
          <w:i/>
          <w:spacing w:val="-12"/>
          <w:w w:val="105"/>
          <w:sz w:val="22"/>
        </w:rPr>
        <w:t> </w:t>
      </w:r>
      <w:r>
        <w:rPr>
          <w:i/>
          <w:w w:val="105"/>
          <w:sz w:val="22"/>
        </w:rPr>
        <w:t>non</w:t>
      </w:r>
      <w:r>
        <w:rPr>
          <w:i/>
          <w:spacing w:val="-13"/>
          <w:w w:val="105"/>
          <w:sz w:val="22"/>
        </w:rPr>
        <w:t> </w:t>
      </w:r>
      <w:r>
        <w:rPr>
          <w:i/>
          <w:w w:val="105"/>
          <w:sz w:val="22"/>
        </w:rPr>
        <w:t>sembrano</w:t>
      </w:r>
      <w:r>
        <w:rPr>
          <w:i/>
          <w:spacing w:val="-12"/>
          <w:w w:val="105"/>
          <w:sz w:val="22"/>
        </w:rPr>
        <w:t> </w:t>
      </w:r>
      <w:r>
        <w:rPr>
          <w:i/>
          <w:w w:val="105"/>
          <w:sz w:val="22"/>
        </w:rPr>
        <w:t>esservi</w:t>
      </w:r>
      <w:r>
        <w:rPr>
          <w:i/>
          <w:spacing w:val="-13"/>
          <w:w w:val="105"/>
          <w:sz w:val="22"/>
        </w:rPr>
        <w:t> </w:t>
      </w:r>
      <w:r>
        <w:rPr>
          <w:i/>
          <w:w w:val="105"/>
          <w:sz w:val="22"/>
        </w:rPr>
        <w:t>particolari</w:t>
      </w:r>
      <w:r>
        <w:rPr>
          <w:i/>
          <w:spacing w:val="-11"/>
          <w:w w:val="105"/>
          <w:sz w:val="22"/>
        </w:rPr>
        <w:t> </w:t>
      </w:r>
      <w:r>
        <w:rPr>
          <w:i/>
          <w:w w:val="105"/>
          <w:sz w:val="22"/>
        </w:rPr>
        <w:t>problemi</w:t>
      </w:r>
      <w:r>
        <w:rPr>
          <w:i/>
          <w:spacing w:val="-12"/>
          <w:w w:val="105"/>
          <w:sz w:val="22"/>
        </w:rPr>
        <w:t> </w:t>
      </w:r>
      <w:r>
        <w:rPr>
          <w:i/>
          <w:w w:val="105"/>
          <w:sz w:val="22"/>
        </w:rPr>
        <w:t>a</w:t>
      </w:r>
      <w:r>
        <w:rPr>
          <w:i/>
          <w:spacing w:val="-12"/>
          <w:w w:val="105"/>
          <w:sz w:val="22"/>
        </w:rPr>
        <w:t> </w:t>
      </w:r>
      <w:r>
        <w:rPr>
          <w:i/>
          <w:w w:val="105"/>
          <w:sz w:val="22"/>
        </w:rPr>
        <w:t>ricomprendere</w:t>
      </w:r>
      <w:r>
        <w:rPr>
          <w:i/>
          <w:spacing w:val="-12"/>
          <w:w w:val="105"/>
          <w:sz w:val="22"/>
        </w:rPr>
        <w:t> </w:t>
      </w:r>
      <w:r>
        <w:rPr>
          <w:i/>
          <w:w w:val="105"/>
          <w:sz w:val="22"/>
        </w:rPr>
        <w:t>detti creditori in una classe apposita ed a prevedere una forma di soddisfazione per gli stessi, purché inferiore a quella degli altri creditori chirografari (in tal senso in giurisprudenza Trib. Ancona, 19.11.2007, in </w:t>
      </w:r>
      <w:r>
        <w:rPr>
          <w:w w:val="105"/>
          <w:sz w:val="22"/>
        </w:rPr>
        <w:t>www.ilfallimentoonline.it</w:t>
      </w:r>
      <w:r>
        <w:rPr>
          <w:i/>
          <w:w w:val="105"/>
          <w:sz w:val="22"/>
        </w:rPr>
        <w:t>; Trib. Bologna, </w:t>
      </w:r>
      <w:r>
        <w:rPr>
          <w:i/>
          <w:w w:val="105"/>
          <w:sz w:val="22"/>
        </w:rPr>
        <w:t>26.1.2006, in Fallimento, 2006, 676; Trib. Modena, 18.10.2005, in Fallimento, 2005, 793)</w:t>
      </w:r>
      <w:r>
        <w:rPr>
          <w:w w:val="105"/>
          <w:sz w:val="22"/>
        </w:rPr>
        <w:t>” (Arato, Il Piano di concordato e la soddisfazione dei creditori concorsuali</w:t>
      </w:r>
      <w:r>
        <w:rPr>
          <w:spacing w:val="-19"/>
          <w:w w:val="105"/>
          <w:sz w:val="22"/>
        </w:rPr>
        <w:t> </w:t>
      </w:r>
      <w:r>
        <w:rPr>
          <w:w w:val="105"/>
          <w:sz w:val="22"/>
        </w:rPr>
        <w:t>in</w:t>
      </w:r>
      <w:r>
        <w:rPr>
          <w:spacing w:val="-18"/>
          <w:w w:val="105"/>
          <w:sz w:val="22"/>
        </w:rPr>
        <w:t> </w:t>
      </w:r>
      <w:r>
        <w:rPr>
          <w:w w:val="105"/>
          <w:sz w:val="22"/>
        </w:rPr>
        <w:t>Crisi</w:t>
      </w:r>
      <w:r>
        <w:rPr>
          <w:spacing w:val="-18"/>
          <w:w w:val="105"/>
          <w:sz w:val="22"/>
        </w:rPr>
        <w:t> </w:t>
      </w:r>
      <w:r>
        <w:rPr>
          <w:w w:val="105"/>
          <w:sz w:val="22"/>
        </w:rPr>
        <w:t>d’Impresa</w:t>
      </w:r>
      <w:r>
        <w:rPr>
          <w:spacing w:val="-18"/>
          <w:w w:val="105"/>
          <w:sz w:val="22"/>
        </w:rPr>
        <w:t> </w:t>
      </w:r>
      <w:r>
        <w:rPr>
          <w:w w:val="105"/>
          <w:sz w:val="22"/>
        </w:rPr>
        <w:t>e</w:t>
      </w:r>
      <w:r>
        <w:rPr>
          <w:spacing w:val="-18"/>
          <w:w w:val="105"/>
          <w:sz w:val="22"/>
        </w:rPr>
        <w:t> </w:t>
      </w:r>
      <w:r>
        <w:rPr>
          <w:w w:val="105"/>
          <w:sz w:val="22"/>
        </w:rPr>
        <w:t>procedure</w:t>
      </w:r>
      <w:r>
        <w:rPr>
          <w:spacing w:val="-19"/>
          <w:w w:val="105"/>
          <w:sz w:val="22"/>
        </w:rPr>
        <w:t> </w:t>
      </w:r>
      <w:r>
        <w:rPr>
          <w:w w:val="105"/>
          <w:sz w:val="22"/>
        </w:rPr>
        <w:t>concorsuali,</w:t>
      </w:r>
      <w:r>
        <w:rPr>
          <w:spacing w:val="-18"/>
          <w:w w:val="105"/>
          <w:sz w:val="22"/>
        </w:rPr>
        <w:t> </w:t>
      </w:r>
      <w:r>
        <w:rPr>
          <w:w w:val="105"/>
          <w:sz w:val="22"/>
        </w:rPr>
        <w:t>III,</w:t>
      </w:r>
      <w:r>
        <w:rPr>
          <w:spacing w:val="-18"/>
          <w:w w:val="105"/>
          <w:sz w:val="22"/>
        </w:rPr>
        <w:t> </w:t>
      </w:r>
      <w:r>
        <w:rPr>
          <w:w w:val="105"/>
          <w:sz w:val="22"/>
        </w:rPr>
        <w:t>p.</w:t>
      </w:r>
      <w:r>
        <w:rPr>
          <w:spacing w:val="-19"/>
          <w:w w:val="105"/>
          <w:sz w:val="22"/>
        </w:rPr>
        <w:t> </w:t>
      </w:r>
      <w:r>
        <w:rPr>
          <w:w w:val="105"/>
          <w:sz w:val="22"/>
        </w:rPr>
        <w:t>3502).</w:t>
      </w:r>
    </w:p>
    <w:p>
      <w:pPr>
        <w:pStyle w:val="BodyText"/>
        <w:spacing w:line="491" w:lineRule="auto"/>
        <w:ind w:left="400" w:right="2247"/>
        <w:jc w:val="both"/>
      </w:pPr>
      <w:r>
        <w:rPr>
          <w:w w:val="105"/>
        </w:rPr>
        <w:t>Quale conseguenza e tenuto conto della Postergazione Novozymes, la Società può disporre di parte del patrimonio per la soddisfazione del postergato Novozymes anche in assenza di completo soddisfacimento dei </w:t>
      </w:r>
      <w:r>
        <w:rPr/>
        <w:t>creditori chirografari.</w:t>
      </w:r>
    </w:p>
    <w:p>
      <w:pPr>
        <w:pStyle w:val="BodyText"/>
        <w:spacing w:line="491" w:lineRule="auto"/>
        <w:ind w:left="400" w:right="2248"/>
        <w:jc w:val="both"/>
      </w:pPr>
      <w:r>
        <w:rPr>
          <w:w w:val="105"/>
        </w:rPr>
        <w:t>Quanto precede è, infatti, possibile perché il soddisfacimento percentuale dei creditori chirografari dipende dalla, ed è strettamente collegato alla, </w:t>
      </w:r>
      <w:r>
        <w:rPr/>
        <w:t>Postergazione Novozymes.</w:t>
      </w:r>
    </w:p>
    <w:p>
      <w:pPr>
        <w:pStyle w:val="BodyText"/>
        <w:ind w:left="476" w:right="2812"/>
        <w:jc w:val="center"/>
      </w:pPr>
      <w:r>
        <w:rPr>
          <w:w w:val="105"/>
        </w:rPr>
        <w:t>* * *</w:t>
      </w:r>
    </w:p>
    <w:p>
      <w:pPr>
        <w:spacing w:after="0"/>
        <w:jc w:val="center"/>
        <w:sectPr>
          <w:pgSz w:w="12240" w:h="15840"/>
          <w:pgMar w:header="0" w:footer="790" w:top="1500" w:bottom="980" w:left="1720" w:right="1200"/>
        </w:sectPr>
      </w:pPr>
    </w:p>
    <w:p>
      <w:pPr>
        <w:pStyle w:val="Heading2"/>
        <w:numPr>
          <w:ilvl w:val="1"/>
          <w:numId w:val="18"/>
        </w:numPr>
        <w:tabs>
          <w:tab w:pos="1066" w:val="left" w:leader="none"/>
        </w:tabs>
        <w:spacing w:line="240" w:lineRule="auto" w:before="105" w:after="0"/>
        <w:ind w:left="1065" w:right="0" w:hanging="665"/>
        <w:jc w:val="both"/>
      </w:pPr>
      <w:bookmarkStart w:name="_TOC_250014" w:id="38"/>
      <w:r>
        <w:rPr>
          <w:w w:val="105"/>
          <w:u w:val="single"/>
        </w:rPr>
        <w:t>La</w:t>
      </w:r>
      <w:r>
        <w:rPr>
          <w:spacing w:val="-21"/>
          <w:w w:val="105"/>
          <w:u w:val="single"/>
        </w:rPr>
        <w:t> </w:t>
      </w:r>
      <w:r>
        <w:rPr>
          <w:w w:val="105"/>
          <w:u w:val="single"/>
        </w:rPr>
        <w:t>prognosi</w:t>
      </w:r>
      <w:r>
        <w:rPr>
          <w:spacing w:val="-20"/>
          <w:w w:val="105"/>
          <w:u w:val="single"/>
        </w:rPr>
        <w:t> </w:t>
      </w:r>
      <w:r>
        <w:rPr>
          <w:w w:val="105"/>
          <w:u w:val="single"/>
        </w:rPr>
        <w:t>di</w:t>
      </w:r>
      <w:r>
        <w:rPr>
          <w:spacing w:val="-20"/>
          <w:w w:val="105"/>
          <w:u w:val="single"/>
        </w:rPr>
        <w:t> </w:t>
      </w:r>
      <w:r>
        <w:rPr>
          <w:w w:val="105"/>
          <w:u w:val="single"/>
        </w:rPr>
        <w:t>soddisfazione</w:t>
      </w:r>
      <w:r>
        <w:rPr>
          <w:spacing w:val="-20"/>
          <w:w w:val="105"/>
          <w:u w:val="single"/>
        </w:rPr>
        <w:t> </w:t>
      </w:r>
      <w:r>
        <w:rPr>
          <w:w w:val="105"/>
          <w:u w:val="single"/>
        </w:rPr>
        <w:t>dei</w:t>
      </w:r>
      <w:r>
        <w:rPr>
          <w:spacing w:val="-20"/>
          <w:w w:val="105"/>
          <w:u w:val="single"/>
        </w:rPr>
        <w:t> </w:t>
      </w:r>
      <w:bookmarkEnd w:id="38"/>
      <w:r>
        <w:rPr>
          <w:w w:val="105"/>
          <w:u w:val="single"/>
        </w:rPr>
        <w:t>creditori</w:t>
      </w:r>
    </w:p>
    <w:p>
      <w:pPr>
        <w:pStyle w:val="BodyText"/>
        <w:rPr>
          <w:b/>
          <w:sz w:val="23"/>
        </w:rPr>
      </w:pPr>
    </w:p>
    <w:p>
      <w:pPr>
        <w:pStyle w:val="BodyText"/>
        <w:spacing w:line="491" w:lineRule="auto"/>
        <w:ind w:left="400" w:right="2195"/>
        <w:jc w:val="both"/>
      </w:pPr>
      <w:r>
        <w:rPr>
          <w:w w:val="105"/>
        </w:rPr>
        <w:t>La Società, con le risorse ricavate dalla cessione del Ramo Biochemtex, dall’Incasso Crediti, dalla liquidazione degli Altri Attivi, dalla vendita dell’Immobile Modugno e dall’Impegno Ghisolfi, anche tenuto conto della Transazione</w:t>
      </w:r>
      <w:r>
        <w:rPr>
          <w:spacing w:val="-21"/>
          <w:w w:val="105"/>
        </w:rPr>
        <w:t> </w:t>
      </w:r>
      <w:r>
        <w:rPr>
          <w:w w:val="105"/>
        </w:rPr>
        <w:t>GranBio,</w:t>
      </w:r>
      <w:r>
        <w:rPr>
          <w:spacing w:val="-20"/>
          <w:w w:val="105"/>
        </w:rPr>
        <w:t> </w:t>
      </w:r>
      <w:r>
        <w:rPr>
          <w:w w:val="105"/>
        </w:rPr>
        <w:t>della</w:t>
      </w:r>
      <w:r>
        <w:rPr>
          <w:spacing w:val="-20"/>
          <w:w w:val="105"/>
        </w:rPr>
        <w:t> </w:t>
      </w:r>
      <w:r>
        <w:rPr>
          <w:w w:val="105"/>
        </w:rPr>
        <w:t>Postergazione</w:t>
      </w:r>
      <w:r>
        <w:rPr>
          <w:spacing w:val="-20"/>
          <w:w w:val="105"/>
        </w:rPr>
        <w:t> </w:t>
      </w:r>
      <w:r>
        <w:rPr>
          <w:w w:val="105"/>
        </w:rPr>
        <w:t>Novozymes</w:t>
      </w:r>
      <w:r>
        <w:rPr>
          <w:spacing w:val="-21"/>
          <w:w w:val="105"/>
        </w:rPr>
        <w:t> </w:t>
      </w:r>
      <w:r>
        <w:rPr>
          <w:w w:val="105"/>
        </w:rPr>
        <w:t>e</w:t>
      </w:r>
      <w:r>
        <w:rPr>
          <w:spacing w:val="-20"/>
          <w:w w:val="105"/>
        </w:rPr>
        <w:t> </w:t>
      </w:r>
      <w:r>
        <w:rPr>
          <w:w w:val="105"/>
        </w:rPr>
        <w:t>dell’Impegno</w:t>
      </w:r>
      <w:r>
        <w:rPr>
          <w:spacing w:val="-21"/>
          <w:w w:val="105"/>
        </w:rPr>
        <w:t> </w:t>
      </w:r>
      <w:r>
        <w:rPr>
          <w:w w:val="105"/>
        </w:rPr>
        <w:t>Eredi Ghisolfi e previa gestione liquidatoria in conformità al Piano di Cassa, intende</w:t>
      </w:r>
      <w:r>
        <w:rPr>
          <w:spacing w:val="-10"/>
          <w:w w:val="105"/>
        </w:rPr>
        <w:t> </w:t>
      </w:r>
      <w:r>
        <w:rPr>
          <w:w w:val="105"/>
        </w:rPr>
        <w:t>proporre</w:t>
      </w:r>
      <w:r>
        <w:rPr>
          <w:spacing w:val="-10"/>
          <w:w w:val="105"/>
        </w:rPr>
        <w:t> </w:t>
      </w:r>
      <w:r>
        <w:rPr>
          <w:w w:val="105"/>
        </w:rPr>
        <w:t>ed</w:t>
      </w:r>
      <w:r>
        <w:rPr>
          <w:spacing w:val="-11"/>
          <w:w w:val="105"/>
        </w:rPr>
        <w:t> </w:t>
      </w:r>
      <w:r>
        <w:rPr>
          <w:w w:val="105"/>
        </w:rPr>
        <w:t>assicurare,</w:t>
      </w:r>
      <w:r>
        <w:rPr>
          <w:spacing w:val="-9"/>
          <w:w w:val="105"/>
        </w:rPr>
        <w:t> </w:t>
      </w:r>
      <w:r>
        <w:rPr>
          <w:w w:val="105"/>
        </w:rPr>
        <w:t>come</w:t>
      </w:r>
      <w:r>
        <w:rPr>
          <w:spacing w:val="-10"/>
          <w:w w:val="105"/>
        </w:rPr>
        <w:t> </w:t>
      </w:r>
      <w:r>
        <w:rPr>
          <w:w w:val="105"/>
        </w:rPr>
        <w:t>in</w:t>
      </w:r>
      <w:r>
        <w:rPr>
          <w:spacing w:val="-10"/>
          <w:w w:val="105"/>
        </w:rPr>
        <w:t> </w:t>
      </w:r>
      <w:r>
        <w:rPr>
          <w:w w:val="105"/>
        </w:rPr>
        <w:t>effetti</w:t>
      </w:r>
      <w:r>
        <w:rPr>
          <w:spacing w:val="-11"/>
          <w:w w:val="105"/>
        </w:rPr>
        <w:t> </w:t>
      </w:r>
      <w:r>
        <w:rPr>
          <w:w w:val="105"/>
        </w:rPr>
        <w:t>propone</w:t>
      </w:r>
      <w:r>
        <w:rPr>
          <w:spacing w:val="-10"/>
          <w:w w:val="105"/>
        </w:rPr>
        <w:t> </w:t>
      </w:r>
      <w:r>
        <w:rPr>
          <w:w w:val="105"/>
        </w:rPr>
        <w:t>ed</w:t>
      </w:r>
      <w:r>
        <w:rPr>
          <w:spacing w:val="-9"/>
          <w:w w:val="105"/>
        </w:rPr>
        <w:t> </w:t>
      </w:r>
      <w:r>
        <w:rPr>
          <w:w w:val="105"/>
        </w:rPr>
        <w:t>assicura</w:t>
      </w:r>
      <w:r>
        <w:rPr>
          <w:spacing w:val="-9"/>
          <w:w w:val="105"/>
        </w:rPr>
        <w:t> </w:t>
      </w:r>
      <w:r>
        <w:rPr>
          <w:w w:val="105"/>
        </w:rPr>
        <w:t>ai</w:t>
      </w:r>
      <w:r>
        <w:rPr>
          <w:spacing w:val="-10"/>
          <w:w w:val="105"/>
        </w:rPr>
        <w:t> </w:t>
      </w:r>
      <w:r>
        <w:rPr>
          <w:w w:val="105"/>
        </w:rPr>
        <w:t>propri creditori, non soggetti a classamento, la soddisfazione delle loro ragioni mediante:</w:t>
      </w:r>
    </w:p>
    <w:p>
      <w:pPr>
        <w:pStyle w:val="ListParagraph"/>
        <w:numPr>
          <w:ilvl w:val="0"/>
          <w:numId w:val="30"/>
        </w:numPr>
        <w:tabs>
          <w:tab w:pos="1067" w:val="left" w:leader="none"/>
          <w:tab w:pos="1068" w:val="left" w:leader="none"/>
        </w:tabs>
        <w:spacing w:line="240" w:lineRule="auto" w:before="0" w:after="0"/>
        <w:ind w:left="1078" w:right="0" w:hanging="410"/>
        <w:jc w:val="left"/>
        <w:rPr>
          <w:sz w:val="22"/>
        </w:rPr>
      </w:pPr>
      <w:r>
        <w:rPr>
          <w:w w:val="105"/>
          <w:sz w:val="22"/>
        </w:rPr>
        <w:t>il</w:t>
      </w:r>
      <w:r>
        <w:rPr>
          <w:spacing w:val="-21"/>
          <w:w w:val="105"/>
          <w:sz w:val="22"/>
        </w:rPr>
        <w:t> </w:t>
      </w:r>
      <w:r>
        <w:rPr>
          <w:w w:val="105"/>
          <w:sz w:val="22"/>
        </w:rPr>
        <w:t>pagamento</w:t>
      </w:r>
      <w:r>
        <w:rPr>
          <w:spacing w:val="-21"/>
          <w:w w:val="105"/>
          <w:sz w:val="22"/>
        </w:rPr>
        <w:t> </w:t>
      </w:r>
      <w:r>
        <w:rPr>
          <w:w w:val="105"/>
          <w:sz w:val="22"/>
        </w:rPr>
        <w:t>integrale</w:t>
      </w:r>
      <w:r>
        <w:rPr>
          <w:spacing w:val="-22"/>
          <w:w w:val="105"/>
          <w:sz w:val="22"/>
        </w:rPr>
        <w:t> </w:t>
      </w:r>
      <w:r>
        <w:rPr>
          <w:w w:val="105"/>
          <w:sz w:val="22"/>
        </w:rPr>
        <w:t>degli</w:t>
      </w:r>
      <w:r>
        <w:rPr>
          <w:spacing w:val="-22"/>
          <w:w w:val="105"/>
          <w:sz w:val="22"/>
        </w:rPr>
        <w:t> </w:t>
      </w:r>
      <w:r>
        <w:rPr>
          <w:w w:val="105"/>
          <w:sz w:val="22"/>
        </w:rPr>
        <w:t>oneri</w:t>
      </w:r>
      <w:r>
        <w:rPr>
          <w:spacing w:val="-22"/>
          <w:w w:val="105"/>
          <w:sz w:val="22"/>
        </w:rPr>
        <w:t> </w:t>
      </w:r>
      <w:r>
        <w:rPr>
          <w:w w:val="105"/>
          <w:sz w:val="22"/>
        </w:rPr>
        <w:t>di</w:t>
      </w:r>
      <w:r>
        <w:rPr>
          <w:spacing w:val="-21"/>
          <w:w w:val="105"/>
          <w:sz w:val="22"/>
        </w:rPr>
        <w:t> </w:t>
      </w:r>
      <w:r>
        <w:rPr>
          <w:w w:val="105"/>
          <w:sz w:val="22"/>
        </w:rPr>
        <w:t>ristrutturazione;</w:t>
      </w:r>
    </w:p>
    <w:p>
      <w:pPr>
        <w:pStyle w:val="BodyText"/>
        <w:spacing w:before="3"/>
        <w:rPr>
          <w:sz w:val="23"/>
        </w:rPr>
      </w:pPr>
    </w:p>
    <w:p>
      <w:pPr>
        <w:pStyle w:val="ListParagraph"/>
        <w:numPr>
          <w:ilvl w:val="0"/>
          <w:numId w:val="30"/>
        </w:numPr>
        <w:tabs>
          <w:tab w:pos="1079" w:val="left" w:leader="none"/>
        </w:tabs>
        <w:spacing w:line="491" w:lineRule="auto" w:before="0" w:after="0"/>
        <w:ind w:left="1078" w:right="2194" w:hanging="410"/>
        <w:jc w:val="both"/>
        <w:rPr>
          <w:sz w:val="22"/>
        </w:rPr>
      </w:pPr>
      <w:r>
        <w:rPr>
          <w:w w:val="105"/>
          <w:sz w:val="22"/>
        </w:rPr>
        <w:t>il</w:t>
      </w:r>
      <w:r>
        <w:rPr>
          <w:spacing w:val="-9"/>
          <w:w w:val="105"/>
          <w:sz w:val="22"/>
        </w:rPr>
        <w:t> </w:t>
      </w:r>
      <w:r>
        <w:rPr>
          <w:w w:val="105"/>
          <w:sz w:val="22"/>
        </w:rPr>
        <w:t>pagamento</w:t>
      </w:r>
      <w:r>
        <w:rPr>
          <w:spacing w:val="-8"/>
          <w:w w:val="105"/>
          <w:sz w:val="22"/>
        </w:rPr>
        <w:t> </w:t>
      </w:r>
      <w:r>
        <w:rPr>
          <w:w w:val="105"/>
          <w:sz w:val="22"/>
        </w:rPr>
        <w:t>integrale,</w:t>
      </w:r>
      <w:r>
        <w:rPr>
          <w:spacing w:val="-10"/>
          <w:w w:val="105"/>
          <w:sz w:val="22"/>
        </w:rPr>
        <w:t> </w:t>
      </w:r>
      <w:r>
        <w:rPr>
          <w:w w:val="105"/>
          <w:sz w:val="22"/>
        </w:rPr>
        <w:t>in</w:t>
      </w:r>
      <w:r>
        <w:rPr>
          <w:spacing w:val="-8"/>
          <w:w w:val="105"/>
          <w:sz w:val="22"/>
        </w:rPr>
        <w:t> </w:t>
      </w:r>
      <w:r>
        <w:rPr>
          <w:w w:val="105"/>
          <w:sz w:val="22"/>
        </w:rPr>
        <w:t>base</w:t>
      </w:r>
      <w:r>
        <w:rPr>
          <w:spacing w:val="-8"/>
          <w:w w:val="105"/>
          <w:sz w:val="22"/>
        </w:rPr>
        <w:t> </w:t>
      </w:r>
      <w:r>
        <w:rPr>
          <w:w w:val="105"/>
          <w:sz w:val="22"/>
        </w:rPr>
        <w:t>alla</w:t>
      </w:r>
      <w:r>
        <w:rPr>
          <w:spacing w:val="-10"/>
          <w:w w:val="105"/>
          <w:sz w:val="22"/>
        </w:rPr>
        <w:t> </w:t>
      </w:r>
      <w:r>
        <w:rPr>
          <w:w w:val="105"/>
          <w:sz w:val="22"/>
        </w:rPr>
        <w:t>scadenza</w:t>
      </w:r>
      <w:r>
        <w:rPr>
          <w:spacing w:val="-9"/>
          <w:w w:val="105"/>
          <w:sz w:val="22"/>
        </w:rPr>
        <w:t> </w:t>
      </w:r>
      <w:r>
        <w:rPr>
          <w:w w:val="105"/>
          <w:sz w:val="22"/>
        </w:rPr>
        <w:t>naturale</w:t>
      </w:r>
      <w:r>
        <w:rPr>
          <w:spacing w:val="-8"/>
          <w:w w:val="105"/>
          <w:sz w:val="22"/>
        </w:rPr>
        <w:t> </w:t>
      </w:r>
      <w:r>
        <w:rPr>
          <w:w w:val="105"/>
          <w:sz w:val="22"/>
        </w:rPr>
        <w:t>degli</w:t>
      </w:r>
      <w:r>
        <w:rPr>
          <w:spacing w:val="-8"/>
          <w:w w:val="105"/>
          <w:sz w:val="22"/>
        </w:rPr>
        <w:t> </w:t>
      </w:r>
      <w:r>
        <w:rPr>
          <w:w w:val="105"/>
          <w:sz w:val="22"/>
        </w:rPr>
        <w:t>stessi</w:t>
      </w:r>
      <w:r>
        <w:rPr>
          <w:spacing w:val="-9"/>
          <w:w w:val="105"/>
          <w:sz w:val="22"/>
        </w:rPr>
        <w:t> </w:t>
      </w:r>
      <w:r>
        <w:rPr>
          <w:w w:val="105"/>
          <w:sz w:val="22"/>
        </w:rPr>
        <w:t>(cfr. piano di cassa marzo 2018 – luglio 2018), dei debiti previsti per il mantenimento del Ramo Biochemtex fino alla cessione del medesimo a Versalis o altro soggetto che ne risulterà aggiudicatario all’esito</w:t>
      </w:r>
      <w:r>
        <w:rPr>
          <w:spacing w:val="-17"/>
          <w:w w:val="105"/>
          <w:sz w:val="22"/>
        </w:rPr>
        <w:t> </w:t>
      </w:r>
      <w:r>
        <w:rPr>
          <w:w w:val="105"/>
          <w:sz w:val="22"/>
        </w:rPr>
        <w:t>dell’asta</w:t>
      </w:r>
      <w:r>
        <w:rPr>
          <w:spacing w:val="-18"/>
          <w:w w:val="105"/>
          <w:sz w:val="22"/>
        </w:rPr>
        <w:t> </w:t>
      </w:r>
      <w:r>
        <w:rPr>
          <w:w w:val="105"/>
          <w:sz w:val="22"/>
        </w:rPr>
        <w:t>competitiva</w:t>
      </w:r>
      <w:r>
        <w:rPr>
          <w:spacing w:val="-17"/>
          <w:w w:val="105"/>
          <w:sz w:val="22"/>
        </w:rPr>
        <w:t> </w:t>
      </w:r>
      <w:r>
        <w:rPr>
          <w:w w:val="105"/>
          <w:sz w:val="22"/>
        </w:rPr>
        <w:t>ex</w:t>
      </w:r>
      <w:r>
        <w:rPr>
          <w:spacing w:val="-19"/>
          <w:w w:val="105"/>
          <w:sz w:val="22"/>
        </w:rPr>
        <w:t> </w:t>
      </w:r>
      <w:r>
        <w:rPr>
          <w:w w:val="105"/>
          <w:sz w:val="22"/>
        </w:rPr>
        <w:t>art.</w:t>
      </w:r>
      <w:r>
        <w:rPr>
          <w:spacing w:val="-17"/>
          <w:w w:val="105"/>
          <w:sz w:val="22"/>
        </w:rPr>
        <w:t> </w:t>
      </w:r>
      <w:r>
        <w:rPr>
          <w:w w:val="105"/>
          <w:sz w:val="22"/>
        </w:rPr>
        <w:t>163-bis</w:t>
      </w:r>
      <w:r>
        <w:rPr>
          <w:spacing w:val="-19"/>
          <w:w w:val="105"/>
          <w:sz w:val="22"/>
        </w:rPr>
        <w:t> </w:t>
      </w:r>
      <w:r>
        <w:rPr>
          <w:w w:val="105"/>
          <w:sz w:val="22"/>
        </w:rPr>
        <w:t>l.</w:t>
      </w:r>
      <w:r>
        <w:rPr>
          <w:spacing w:val="-17"/>
          <w:w w:val="105"/>
          <w:sz w:val="22"/>
        </w:rPr>
        <w:t> </w:t>
      </w:r>
      <w:r>
        <w:rPr>
          <w:w w:val="105"/>
          <w:sz w:val="22"/>
        </w:rPr>
        <w:t>fall.;</w:t>
      </w:r>
    </w:p>
    <w:p>
      <w:pPr>
        <w:pStyle w:val="ListParagraph"/>
        <w:numPr>
          <w:ilvl w:val="0"/>
          <w:numId w:val="30"/>
        </w:numPr>
        <w:tabs>
          <w:tab w:pos="1068" w:val="left" w:leader="none"/>
        </w:tabs>
        <w:spacing w:line="491" w:lineRule="auto" w:before="1" w:after="0"/>
        <w:ind w:left="1067" w:right="2196" w:hanging="400"/>
        <w:jc w:val="both"/>
        <w:rPr>
          <w:sz w:val="22"/>
        </w:rPr>
      </w:pPr>
      <w:r>
        <w:rPr>
          <w:w w:val="105"/>
          <w:sz w:val="22"/>
        </w:rPr>
        <w:t>il pagamento integrale dei crediti di lavoro e dei relativi interessi, in parte mediante previsione di accollo da parte dell’aggiudicatario del Ramo Biochemtex e, in altra parte, direttamente, </w:t>
      </w:r>
      <w:r>
        <w:rPr>
          <w:w w:val="105"/>
          <w:sz w:val="22"/>
          <w:u w:val="single"/>
        </w:rPr>
        <w:t>entro 3 (tre) </w:t>
      </w:r>
      <w:r>
        <w:rPr>
          <w:spacing w:val="40"/>
          <w:w w:val="105"/>
          <w:sz w:val="22"/>
          <w:u w:val="single"/>
        </w:rPr>
        <w:t> </w:t>
      </w:r>
      <w:r>
        <w:rPr>
          <w:w w:val="105"/>
          <w:sz w:val="22"/>
          <w:u w:val="single"/>
        </w:rPr>
        <w:t>mesi</w:t>
      </w:r>
    </w:p>
    <w:p>
      <w:pPr>
        <w:pStyle w:val="BodyText"/>
        <w:spacing w:line="491" w:lineRule="auto" w:before="1"/>
        <w:ind w:left="1067" w:right="2200"/>
      </w:pPr>
      <w:r>
        <w:rPr>
          <w:w w:val="105"/>
        </w:rPr>
        <w:t>dal Decreto di Omologazione, salva autorizzazione a riparti anticipati;</w:t>
      </w:r>
    </w:p>
    <w:p>
      <w:pPr>
        <w:pStyle w:val="ListParagraph"/>
        <w:numPr>
          <w:ilvl w:val="0"/>
          <w:numId w:val="30"/>
        </w:numPr>
        <w:tabs>
          <w:tab w:pos="1068" w:val="left" w:leader="none"/>
        </w:tabs>
        <w:spacing w:line="491" w:lineRule="auto" w:before="0" w:after="0"/>
        <w:ind w:left="1067" w:right="2196" w:hanging="399"/>
        <w:jc w:val="both"/>
        <w:rPr>
          <w:sz w:val="22"/>
        </w:rPr>
      </w:pPr>
      <w:r>
        <w:rPr>
          <w:w w:val="105"/>
          <w:sz w:val="22"/>
        </w:rPr>
        <w:t>il</w:t>
      </w:r>
      <w:r>
        <w:rPr>
          <w:spacing w:val="-13"/>
          <w:w w:val="105"/>
          <w:sz w:val="22"/>
        </w:rPr>
        <w:t> </w:t>
      </w:r>
      <w:r>
        <w:rPr>
          <w:w w:val="105"/>
          <w:sz w:val="22"/>
        </w:rPr>
        <w:t>pagamento</w:t>
      </w:r>
      <w:r>
        <w:rPr>
          <w:spacing w:val="-12"/>
          <w:w w:val="105"/>
          <w:sz w:val="22"/>
        </w:rPr>
        <w:t> </w:t>
      </w:r>
      <w:r>
        <w:rPr>
          <w:w w:val="105"/>
          <w:sz w:val="22"/>
        </w:rPr>
        <w:t>integrale</w:t>
      </w:r>
      <w:r>
        <w:rPr>
          <w:spacing w:val="-13"/>
          <w:w w:val="105"/>
          <w:sz w:val="22"/>
        </w:rPr>
        <w:t> </w:t>
      </w:r>
      <w:r>
        <w:rPr>
          <w:w w:val="105"/>
          <w:sz w:val="22"/>
        </w:rPr>
        <w:t>dei</w:t>
      </w:r>
      <w:r>
        <w:rPr>
          <w:spacing w:val="-13"/>
          <w:w w:val="105"/>
          <w:sz w:val="22"/>
        </w:rPr>
        <w:t> </w:t>
      </w:r>
      <w:r>
        <w:rPr>
          <w:w w:val="105"/>
          <w:sz w:val="22"/>
        </w:rPr>
        <w:t>crediti</w:t>
      </w:r>
      <w:r>
        <w:rPr>
          <w:spacing w:val="-14"/>
          <w:w w:val="105"/>
          <w:sz w:val="22"/>
        </w:rPr>
        <w:t> </w:t>
      </w:r>
      <w:r>
        <w:rPr>
          <w:w w:val="105"/>
          <w:sz w:val="22"/>
        </w:rPr>
        <w:t>privilegiati</w:t>
      </w:r>
      <w:r>
        <w:rPr>
          <w:spacing w:val="-13"/>
          <w:w w:val="105"/>
          <w:sz w:val="22"/>
        </w:rPr>
        <w:t> </w:t>
      </w:r>
      <w:r>
        <w:rPr>
          <w:w w:val="105"/>
          <w:sz w:val="22"/>
        </w:rPr>
        <w:t>generali,</w:t>
      </w:r>
      <w:r>
        <w:rPr>
          <w:spacing w:val="-13"/>
          <w:w w:val="105"/>
          <w:sz w:val="22"/>
        </w:rPr>
        <w:t> </w:t>
      </w:r>
      <w:r>
        <w:rPr>
          <w:w w:val="105"/>
          <w:sz w:val="22"/>
        </w:rPr>
        <w:t>diversi</w:t>
      </w:r>
      <w:r>
        <w:rPr>
          <w:spacing w:val="-13"/>
          <w:w w:val="105"/>
          <w:sz w:val="22"/>
        </w:rPr>
        <w:t> </w:t>
      </w:r>
      <w:r>
        <w:rPr>
          <w:w w:val="105"/>
          <w:sz w:val="22"/>
        </w:rPr>
        <w:t>da</w:t>
      </w:r>
      <w:r>
        <w:rPr>
          <w:spacing w:val="-14"/>
          <w:w w:val="105"/>
          <w:sz w:val="22"/>
        </w:rPr>
        <w:t> </w:t>
      </w:r>
      <w:r>
        <w:rPr>
          <w:w w:val="105"/>
          <w:sz w:val="22"/>
        </w:rPr>
        <w:t>quelli di cui al precedente punto c. ed anche di natura erariale e previdenziale,</w:t>
      </w:r>
      <w:r>
        <w:rPr>
          <w:spacing w:val="-11"/>
          <w:w w:val="105"/>
          <w:sz w:val="22"/>
        </w:rPr>
        <w:t> </w:t>
      </w:r>
      <w:r>
        <w:rPr>
          <w:w w:val="105"/>
          <w:sz w:val="22"/>
        </w:rPr>
        <w:t>e</w:t>
      </w:r>
      <w:r>
        <w:rPr>
          <w:spacing w:val="-11"/>
          <w:w w:val="105"/>
          <w:sz w:val="22"/>
        </w:rPr>
        <w:t> </w:t>
      </w:r>
      <w:r>
        <w:rPr>
          <w:w w:val="105"/>
          <w:sz w:val="22"/>
        </w:rPr>
        <w:t>dei</w:t>
      </w:r>
      <w:r>
        <w:rPr>
          <w:spacing w:val="-12"/>
          <w:w w:val="105"/>
          <w:sz w:val="22"/>
        </w:rPr>
        <w:t> </w:t>
      </w:r>
      <w:r>
        <w:rPr>
          <w:w w:val="105"/>
          <w:sz w:val="22"/>
        </w:rPr>
        <w:t>relativi</w:t>
      </w:r>
      <w:r>
        <w:rPr>
          <w:spacing w:val="-11"/>
          <w:w w:val="105"/>
          <w:sz w:val="22"/>
        </w:rPr>
        <w:t> </w:t>
      </w:r>
      <w:r>
        <w:rPr>
          <w:w w:val="105"/>
          <w:sz w:val="22"/>
        </w:rPr>
        <w:t>interessi,</w:t>
      </w:r>
      <w:r>
        <w:rPr>
          <w:spacing w:val="-11"/>
          <w:w w:val="105"/>
          <w:sz w:val="22"/>
        </w:rPr>
        <w:t> </w:t>
      </w:r>
      <w:r>
        <w:rPr>
          <w:w w:val="105"/>
          <w:sz w:val="22"/>
          <w:u w:val="single"/>
        </w:rPr>
        <w:t>entro</w:t>
      </w:r>
      <w:r>
        <w:rPr>
          <w:spacing w:val="-13"/>
          <w:w w:val="105"/>
          <w:sz w:val="22"/>
          <w:u w:val="single"/>
        </w:rPr>
        <w:t> </w:t>
      </w:r>
      <w:r>
        <w:rPr>
          <w:w w:val="105"/>
          <w:sz w:val="22"/>
          <w:u w:val="single"/>
        </w:rPr>
        <w:t>3</w:t>
      </w:r>
      <w:r>
        <w:rPr>
          <w:spacing w:val="-11"/>
          <w:w w:val="105"/>
          <w:sz w:val="22"/>
          <w:u w:val="single"/>
        </w:rPr>
        <w:t> </w:t>
      </w:r>
      <w:r>
        <w:rPr>
          <w:w w:val="105"/>
          <w:sz w:val="22"/>
          <w:u w:val="single"/>
        </w:rPr>
        <w:t>(tre)</w:t>
      </w:r>
      <w:r>
        <w:rPr>
          <w:spacing w:val="-12"/>
          <w:w w:val="105"/>
          <w:sz w:val="22"/>
          <w:u w:val="single"/>
        </w:rPr>
        <w:t> </w:t>
      </w:r>
      <w:r>
        <w:rPr>
          <w:w w:val="105"/>
          <w:sz w:val="22"/>
          <w:u w:val="single"/>
        </w:rPr>
        <w:t>mesi</w:t>
      </w:r>
      <w:r>
        <w:rPr>
          <w:spacing w:val="-11"/>
          <w:w w:val="105"/>
          <w:sz w:val="22"/>
          <w:u w:val="single"/>
        </w:rPr>
        <w:t> </w:t>
      </w:r>
      <w:r>
        <w:rPr>
          <w:w w:val="105"/>
          <w:sz w:val="22"/>
        </w:rPr>
        <w:t>dal</w:t>
      </w:r>
      <w:r>
        <w:rPr>
          <w:spacing w:val="-11"/>
          <w:w w:val="105"/>
          <w:sz w:val="22"/>
        </w:rPr>
        <w:t> </w:t>
      </w:r>
      <w:r>
        <w:rPr>
          <w:w w:val="105"/>
          <w:sz w:val="22"/>
        </w:rPr>
        <w:t>Decreto</w:t>
      </w:r>
      <w:r>
        <w:rPr>
          <w:spacing w:val="-11"/>
          <w:w w:val="105"/>
          <w:sz w:val="22"/>
        </w:rPr>
        <w:t> </w:t>
      </w:r>
      <w:r>
        <w:rPr>
          <w:w w:val="105"/>
          <w:sz w:val="22"/>
        </w:rPr>
        <w:t>di</w:t>
      </w:r>
    </w:p>
    <w:p>
      <w:pPr>
        <w:pStyle w:val="BodyText"/>
        <w:spacing w:before="1"/>
        <w:ind w:left="1067"/>
      </w:pPr>
      <w:r>
        <w:rPr>
          <w:w w:val="105"/>
        </w:rPr>
        <w:t>Omologazione, salva autorizzazione a riparti anticipati;</w:t>
      </w:r>
    </w:p>
    <w:p>
      <w:pPr>
        <w:spacing w:after="0"/>
        <w:sectPr>
          <w:pgSz w:w="12240" w:h="15840"/>
          <w:pgMar w:header="0" w:footer="790" w:top="1500" w:bottom="980" w:left="1720" w:right="1200"/>
        </w:sectPr>
      </w:pPr>
    </w:p>
    <w:p>
      <w:pPr>
        <w:pStyle w:val="ListParagraph"/>
        <w:numPr>
          <w:ilvl w:val="0"/>
          <w:numId w:val="30"/>
        </w:numPr>
        <w:tabs>
          <w:tab w:pos="1067" w:val="left" w:leader="none"/>
          <w:tab w:pos="1068" w:val="left" w:leader="none"/>
        </w:tabs>
        <w:spacing w:line="491" w:lineRule="auto" w:before="105" w:after="0"/>
        <w:ind w:left="1067" w:right="2196" w:hanging="399"/>
        <w:jc w:val="left"/>
        <w:rPr>
          <w:sz w:val="22"/>
        </w:rPr>
      </w:pPr>
      <w:r>
        <w:rPr>
          <w:w w:val="105"/>
          <w:sz w:val="22"/>
        </w:rPr>
        <w:t>la suddivisione degli altri creditori in 3 (tre) classi, di cui due con diritto di</w:t>
      </w:r>
      <w:r>
        <w:rPr>
          <w:spacing w:val="-33"/>
          <w:w w:val="105"/>
          <w:sz w:val="22"/>
        </w:rPr>
        <w:t> </w:t>
      </w:r>
      <w:r>
        <w:rPr>
          <w:w w:val="105"/>
          <w:sz w:val="22"/>
        </w:rPr>
        <w:t>voto:</w:t>
      </w:r>
    </w:p>
    <w:p>
      <w:pPr>
        <w:pStyle w:val="ListParagraph"/>
        <w:numPr>
          <w:ilvl w:val="1"/>
          <w:numId w:val="30"/>
        </w:numPr>
        <w:tabs>
          <w:tab w:pos="1467" w:val="left" w:leader="none"/>
          <w:tab w:pos="1468" w:val="left" w:leader="none"/>
        </w:tabs>
        <w:spacing w:line="240" w:lineRule="auto" w:before="0" w:after="0"/>
        <w:ind w:left="1467" w:right="0" w:hanging="400"/>
        <w:jc w:val="left"/>
        <w:rPr>
          <w:sz w:val="22"/>
        </w:rPr>
      </w:pPr>
      <w:r>
        <w:rPr>
          <w:b/>
          <w:w w:val="105"/>
          <w:sz w:val="22"/>
          <w:u w:val="single"/>
        </w:rPr>
        <w:t>Classe 1, con diritto di voto</w:t>
      </w:r>
      <w:r>
        <w:rPr>
          <w:w w:val="105"/>
          <w:sz w:val="22"/>
        </w:rPr>
        <w:t>, composta dai crediti</w:t>
      </w:r>
      <w:r>
        <w:rPr>
          <w:spacing w:val="-9"/>
          <w:w w:val="105"/>
          <w:sz w:val="22"/>
        </w:rPr>
        <w:t> </w:t>
      </w:r>
      <w:r>
        <w:rPr>
          <w:w w:val="105"/>
          <w:sz w:val="22"/>
        </w:rPr>
        <w:t>chirografari</w:t>
      </w:r>
    </w:p>
    <w:p>
      <w:pPr>
        <w:pStyle w:val="BodyText"/>
        <w:spacing w:before="9"/>
        <w:rPr>
          <w:sz w:val="13"/>
        </w:rPr>
      </w:pPr>
    </w:p>
    <w:p>
      <w:pPr>
        <w:pStyle w:val="BodyText"/>
        <w:spacing w:line="491" w:lineRule="auto" w:before="105"/>
        <w:ind w:left="1467" w:right="2196"/>
        <w:jc w:val="both"/>
      </w:pPr>
      <w:r>
        <w:rPr>
          <w:w w:val="105"/>
        </w:rPr>
        <w:t>diversi</w:t>
      </w:r>
      <w:r>
        <w:rPr>
          <w:spacing w:val="-9"/>
          <w:w w:val="105"/>
        </w:rPr>
        <w:t> </w:t>
      </w:r>
      <w:r>
        <w:rPr>
          <w:w w:val="105"/>
        </w:rPr>
        <w:t>da</w:t>
      </w:r>
      <w:r>
        <w:rPr>
          <w:spacing w:val="-9"/>
          <w:w w:val="105"/>
        </w:rPr>
        <w:t> </w:t>
      </w:r>
      <w:r>
        <w:rPr>
          <w:w w:val="105"/>
        </w:rPr>
        <w:t>quelli</w:t>
      </w:r>
      <w:r>
        <w:rPr>
          <w:spacing w:val="-9"/>
          <w:w w:val="105"/>
        </w:rPr>
        <w:t> </w:t>
      </w:r>
      <w:r>
        <w:rPr>
          <w:w w:val="105"/>
        </w:rPr>
        <w:t>di</w:t>
      </w:r>
      <w:r>
        <w:rPr>
          <w:spacing w:val="-8"/>
          <w:w w:val="105"/>
        </w:rPr>
        <w:t> </w:t>
      </w:r>
      <w:r>
        <w:rPr>
          <w:w w:val="105"/>
        </w:rPr>
        <w:t>cui</w:t>
      </w:r>
      <w:r>
        <w:rPr>
          <w:spacing w:val="-9"/>
          <w:w w:val="105"/>
        </w:rPr>
        <w:t> </w:t>
      </w:r>
      <w:r>
        <w:rPr>
          <w:w w:val="105"/>
        </w:rPr>
        <w:t>alla</w:t>
      </w:r>
      <w:r>
        <w:rPr>
          <w:spacing w:val="-10"/>
          <w:w w:val="105"/>
        </w:rPr>
        <w:t> </w:t>
      </w:r>
      <w:r>
        <w:rPr>
          <w:w w:val="105"/>
        </w:rPr>
        <w:t>classe</w:t>
      </w:r>
      <w:r>
        <w:rPr>
          <w:spacing w:val="-9"/>
          <w:w w:val="105"/>
        </w:rPr>
        <w:t> </w:t>
      </w:r>
      <w:r>
        <w:rPr>
          <w:w w:val="105"/>
        </w:rPr>
        <w:t>2</w:t>
      </w:r>
      <w:r>
        <w:rPr>
          <w:spacing w:val="-9"/>
          <w:w w:val="105"/>
        </w:rPr>
        <w:t> </w:t>
      </w:r>
      <w:r>
        <w:rPr>
          <w:w w:val="105"/>
        </w:rPr>
        <w:t>e</w:t>
      </w:r>
      <w:r>
        <w:rPr>
          <w:spacing w:val="-9"/>
          <w:w w:val="105"/>
        </w:rPr>
        <w:t> </w:t>
      </w:r>
      <w:r>
        <w:rPr>
          <w:w w:val="105"/>
        </w:rPr>
        <w:t>alla</w:t>
      </w:r>
      <w:r>
        <w:rPr>
          <w:spacing w:val="-9"/>
          <w:w w:val="105"/>
        </w:rPr>
        <w:t> </w:t>
      </w:r>
      <w:r>
        <w:rPr>
          <w:w w:val="105"/>
        </w:rPr>
        <w:t>classe</w:t>
      </w:r>
      <w:r>
        <w:rPr>
          <w:spacing w:val="-9"/>
          <w:w w:val="105"/>
        </w:rPr>
        <w:t> </w:t>
      </w:r>
      <w:r>
        <w:rPr>
          <w:w w:val="105"/>
        </w:rPr>
        <w:t>3,</w:t>
      </w:r>
      <w:r>
        <w:rPr>
          <w:spacing w:val="-9"/>
          <w:w w:val="105"/>
        </w:rPr>
        <w:t> </w:t>
      </w:r>
      <w:r>
        <w:rPr>
          <w:w w:val="105"/>
        </w:rPr>
        <w:t>con</w:t>
      </w:r>
      <w:r>
        <w:rPr>
          <w:spacing w:val="-10"/>
          <w:w w:val="105"/>
        </w:rPr>
        <w:t> </w:t>
      </w:r>
      <w:r>
        <w:rPr>
          <w:w w:val="105"/>
        </w:rPr>
        <w:t>pagamento in una percentuale assicurata e garantita pari al 20% del rispettivo credito, da corrispondersi nella misura del relativo 50% </w:t>
      </w:r>
      <w:r>
        <w:rPr>
          <w:w w:val="105"/>
          <w:u w:val="single"/>
        </w:rPr>
        <w:t>entro 3 (tre) mesi </w:t>
      </w:r>
      <w:r>
        <w:rPr>
          <w:w w:val="105"/>
        </w:rPr>
        <w:t>dal Decreto di Omologazione e,</w:t>
      </w:r>
      <w:r>
        <w:rPr>
          <w:spacing w:val="19"/>
          <w:w w:val="105"/>
        </w:rPr>
        <w:t> </w:t>
      </w:r>
      <w:r>
        <w:rPr>
          <w:w w:val="105"/>
        </w:rPr>
        <w:t>quanto</w:t>
      </w:r>
    </w:p>
    <w:p>
      <w:pPr>
        <w:pStyle w:val="BodyText"/>
        <w:spacing w:line="491" w:lineRule="auto" w:before="1"/>
        <w:ind w:left="1467" w:right="2193"/>
      </w:pPr>
      <w:r>
        <w:rPr>
          <w:w w:val="105"/>
        </w:rPr>
        <w:t>all’ulteriore 25% </w:t>
      </w:r>
      <w:r>
        <w:rPr>
          <w:w w:val="105"/>
          <w:u w:val="single"/>
        </w:rPr>
        <w:t>entro 15 (quindici) mesi </w:t>
      </w:r>
      <w:r>
        <w:rPr>
          <w:w w:val="105"/>
        </w:rPr>
        <w:t>dalla Data di Omologazione e, infine, l’ulteriore 25% </w:t>
      </w:r>
      <w:r>
        <w:rPr>
          <w:w w:val="105"/>
          <w:u w:val="single"/>
        </w:rPr>
        <w:t>entro 35 (trentacinque)</w:t>
      </w:r>
    </w:p>
    <w:p>
      <w:pPr>
        <w:pStyle w:val="BodyText"/>
        <w:spacing w:line="491" w:lineRule="auto" w:before="1"/>
        <w:ind w:left="1467" w:right="2194"/>
      </w:pPr>
      <w:r>
        <w:rPr>
          <w:w w:val="105"/>
          <w:u w:val="single"/>
        </w:rPr>
        <w:t>mesi </w:t>
      </w:r>
      <w:r>
        <w:rPr>
          <w:w w:val="105"/>
        </w:rPr>
        <w:t>dalla Data di Omologazione, salva autorizzazione a riparti anticipati;</w:t>
      </w:r>
    </w:p>
    <w:p>
      <w:pPr>
        <w:pStyle w:val="ListParagraph"/>
        <w:numPr>
          <w:ilvl w:val="1"/>
          <w:numId w:val="30"/>
        </w:numPr>
        <w:tabs>
          <w:tab w:pos="1467" w:val="left" w:leader="none"/>
          <w:tab w:pos="1468" w:val="left" w:leader="none"/>
        </w:tabs>
        <w:spacing w:line="240" w:lineRule="auto" w:before="0" w:after="0"/>
        <w:ind w:left="1467" w:right="0" w:hanging="400"/>
        <w:jc w:val="left"/>
        <w:rPr>
          <w:sz w:val="22"/>
        </w:rPr>
      </w:pPr>
      <w:r>
        <w:rPr>
          <w:b/>
          <w:w w:val="105"/>
          <w:sz w:val="22"/>
          <w:u w:val="single"/>
        </w:rPr>
        <w:t>Classe   2,   con   diritto   di   voto</w:t>
      </w:r>
      <w:r>
        <w:rPr>
          <w:w w:val="105"/>
          <w:sz w:val="22"/>
        </w:rPr>
        <w:t>,   composta   dal</w:t>
      </w:r>
      <w:r>
        <w:rPr>
          <w:spacing w:val="15"/>
          <w:w w:val="105"/>
          <w:sz w:val="22"/>
        </w:rPr>
        <w:t> </w:t>
      </w:r>
      <w:r>
        <w:rPr>
          <w:w w:val="105"/>
          <w:sz w:val="22"/>
        </w:rPr>
        <w:t>creditore</w:t>
      </w:r>
    </w:p>
    <w:p>
      <w:pPr>
        <w:pStyle w:val="BodyText"/>
        <w:spacing w:before="9"/>
        <w:rPr>
          <w:sz w:val="13"/>
        </w:rPr>
      </w:pPr>
    </w:p>
    <w:p>
      <w:pPr>
        <w:pStyle w:val="BodyText"/>
        <w:spacing w:line="491" w:lineRule="auto" w:before="105"/>
        <w:ind w:left="1467" w:right="2196"/>
        <w:jc w:val="both"/>
      </w:pPr>
      <w:r>
        <w:rPr>
          <w:w w:val="105"/>
        </w:rPr>
        <w:t>postergato</w:t>
      </w:r>
      <w:r>
        <w:rPr>
          <w:spacing w:val="-19"/>
          <w:w w:val="105"/>
        </w:rPr>
        <w:t> </w:t>
      </w:r>
      <w:r>
        <w:rPr>
          <w:w w:val="105"/>
        </w:rPr>
        <w:t>volontariamente</w:t>
      </w:r>
      <w:r>
        <w:rPr>
          <w:spacing w:val="-19"/>
          <w:w w:val="105"/>
        </w:rPr>
        <w:t> </w:t>
      </w:r>
      <w:r>
        <w:rPr>
          <w:w w:val="105"/>
        </w:rPr>
        <w:t>Novozymes</w:t>
      </w:r>
      <w:r>
        <w:rPr>
          <w:spacing w:val="-19"/>
          <w:w w:val="105"/>
        </w:rPr>
        <w:t> </w:t>
      </w:r>
      <w:r>
        <w:rPr>
          <w:w w:val="105"/>
        </w:rPr>
        <w:t>A/S,</w:t>
      </w:r>
      <w:r>
        <w:rPr>
          <w:spacing w:val="-19"/>
          <w:w w:val="105"/>
        </w:rPr>
        <w:t> </w:t>
      </w:r>
      <w:r>
        <w:rPr>
          <w:w w:val="105"/>
        </w:rPr>
        <w:t>con</w:t>
      </w:r>
      <w:r>
        <w:rPr>
          <w:spacing w:val="-19"/>
          <w:w w:val="105"/>
        </w:rPr>
        <w:t> </w:t>
      </w:r>
      <w:r>
        <w:rPr>
          <w:w w:val="105"/>
        </w:rPr>
        <w:t>pagamento</w:t>
      </w:r>
      <w:r>
        <w:rPr>
          <w:spacing w:val="-18"/>
          <w:w w:val="105"/>
        </w:rPr>
        <w:t> </w:t>
      </w:r>
      <w:r>
        <w:rPr>
          <w:w w:val="105"/>
        </w:rPr>
        <w:t>in una percentuale minima, non assicurata, pari al 17,92 % del rispettivo credito, da corrispondersi, nei termini e modalità di cui all’impegno di postergazione ed entro il 31 dicembre 2024 (termine ultimo per il pagamento dell’eventuale Earn Out Versalis);</w:t>
      </w:r>
    </w:p>
    <w:p>
      <w:pPr>
        <w:pStyle w:val="ListParagraph"/>
        <w:numPr>
          <w:ilvl w:val="1"/>
          <w:numId w:val="30"/>
        </w:numPr>
        <w:tabs>
          <w:tab w:pos="1467" w:val="left" w:leader="none"/>
          <w:tab w:pos="1468" w:val="left" w:leader="none"/>
        </w:tabs>
        <w:spacing w:line="456" w:lineRule="auto" w:before="0" w:after="0"/>
        <w:ind w:left="1467" w:right="2198" w:hanging="400"/>
        <w:jc w:val="left"/>
        <w:rPr>
          <w:sz w:val="22"/>
        </w:rPr>
      </w:pPr>
      <w:r>
        <w:rPr>
          <w:b/>
          <w:sz w:val="22"/>
          <w:u w:val="single"/>
        </w:rPr>
        <w:t>Classe 3, senza diritto di voto </w:t>
      </w:r>
      <w:r>
        <w:rPr>
          <w:b/>
          <w:i/>
          <w:sz w:val="24"/>
          <w:u w:val="single"/>
        </w:rPr>
        <w:t>ex lege</w:t>
      </w:r>
      <w:r>
        <w:rPr>
          <w:sz w:val="22"/>
        </w:rPr>
        <w:t>, composta dai creditori finanziari </w:t>
      </w:r>
      <w:r>
        <w:rPr>
          <w:i/>
          <w:sz w:val="22"/>
        </w:rPr>
        <w:t>ab origine </w:t>
      </w:r>
      <w:r>
        <w:rPr>
          <w:sz w:val="22"/>
        </w:rPr>
        <w:t>(i.e. M&amp;G Finanziaria e </w:t>
      </w:r>
      <w:r>
        <w:rPr>
          <w:spacing w:val="35"/>
          <w:sz w:val="22"/>
        </w:rPr>
        <w:t> </w:t>
      </w:r>
      <w:r>
        <w:rPr>
          <w:sz w:val="22"/>
        </w:rPr>
        <w:t>M&amp;G).</w:t>
      </w:r>
    </w:p>
    <w:p>
      <w:pPr>
        <w:pStyle w:val="BodyText"/>
        <w:spacing w:line="491" w:lineRule="auto" w:before="37"/>
        <w:ind w:left="400" w:right="2195"/>
        <w:jc w:val="both"/>
      </w:pPr>
      <w:r>
        <w:rPr>
          <w:w w:val="105"/>
        </w:rPr>
        <w:t>La Società precisa che, ferma la messa a disposizione dei creditori di tutto il proprio patrimonio, la suddetta percentuale sarà eventualmente ed ulteriormente aumentabile, in ragione di quanto evidenziato nella presente memoria e sulla base del Piano.</w:t>
      </w:r>
    </w:p>
    <w:p>
      <w:pPr>
        <w:spacing w:after="0" w:line="491" w:lineRule="auto"/>
        <w:jc w:val="both"/>
        <w:sectPr>
          <w:pgSz w:w="12240" w:h="15840"/>
          <w:pgMar w:header="0" w:footer="790" w:top="1500" w:bottom="980" w:left="1720" w:right="1200"/>
        </w:sectPr>
      </w:pPr>
    </w:p>
    <w:p>
      <w:pPr>
        <w:pStyle w:val="BodyText"/>
        <w:spacing w:before="105"/>
        <w:ind w:left="476" w:right="2220"/>
        <w:jc w:val="center"/>
      </w:pPr>
      <w:r>
        <w:rPr>
          <w:w w:val="105"/>
        </w:rPr>
        <w:t>* * *</w:t>
      </w:r>
    </w:p>
    <w:p>
      <w:pPr>
        <w:pStyle w:val="BodyText"/>
        <w:rPr>
          <w:sz w:val="23"/>
        </w:rPr>
      </w:pPr>
    </w:p>
    <w:p>
      <w:pPr>
        <w:pStyle w:val="Heading2"/>
        <w:numPr>
          <w:ilvl w:val="1"/>
          <w:numId w:val="18"/>
        </w:numPr>
        <w:tabs>
          <w:tab w:pos="816" w:val="left" w:leader="none"/>
        </w:tabs>
        <w:spacing w:line="240" w:lineRule="auto" w:before="0" w:after="0"/>
        <w:ind w:left="816" w:right="0" w:hanging="416"/>
        <w:jc w:val="both"/>
      </w:pPr>
      <w:bookmarkStart w:name="_TOC_250013" w:id="39"/>
      <w:r>
        <w:rPr>
          <w:w w:val="105"/>
        </w:rPr>
        <w:t>La</w:t>
      </w:r>
      <w:r>
        <w:rPr>
          <w:spacing w:val="-17"/>
          <w:w w:val="105"/>
        </w:rPr>
        <w:t> </w:t>
      </w:r>
      <w:r>
        <w:rPr>
          <w:w w:val="105"/>
        </w:rPr>
        <w:t>convenienza</w:t>
      </w:r>
      <w:r>
        <w:rPr>
          <w:spacing w:val="-17"/>
          <w:w w:val="105"/>
        </w:rPr>
        <w:t> </w:t>
      </w:r>
      <w:r>
        <w:rPr>
          <w:w w:val="105"/>
        </w:rPr>
        <w:t>del</w:t>
      </w:r>
      <w:r>
        <w:rPr>
          <w:spacing w:val="-17"/>
          <w:w w:val="105"/>
        </w:rPr>
        <w:t> </w:t>
      </w:r>
      <w:r>
        <w:rPr>
          <w:w w:val="105"/>
        </w:rPr>
        <w:t>Piano</w:t>
      </w:r>
      <w:r>
        <w:rPr>
          <w:spacing w:val="-17"/>
          <w:w w:val="105"/>
        </w:rPr>
        <w:t> </w:t>
      </w:r>
      <w:r>
        <w:rPr>
          <w:w w:val="105"/>
        </w:rPr>
        <w:t>e</w:t>
      </w:r>
      <w:r>
        <w:rPr>
          <w:spacing w:val="-17"/>
          <w:w w:val="105"/>
        </w:rPr>
        <w:t> </w:t>
      </w:r>
      <w:r>
        <w:rPr>
          <w:w w:val="105"/>
        </w:rPr>
        <w:t>delle</w:t>
      </w:r>
      <w:r>
        <w:rPr>
          <w:spacing w:val="-17"/>
          <w:w w:val="105"/>
        </w:rPr>
        <w:t> </w:t>
      </w:r>
      <w:r>
        <w:rPr>
          <w:w w:val="105"/>
        </w:rPr>
        <w:t>Proposta</w:t>
      </w:r>
      <w:r>
        <w:rPr>
          <w:spacing w:val="-17"/>
          <w:w w:val="105"/>
        </w:rPr>
        <w:t> </w:t>
      </w:r>
      <w:r>
        <w:rPr>
          <w:w w:val="105"/>
        </w:rPr>
        <w:t>di</w:t>
      </w:r>
      <w:r>
        <w:rPr>
          <w:spacing w:val="-17"/>
          <w:w w:val="105"/>
        </w:rPr>
        <w:t> </w:t>
      </w:r>
      <w:bookmarkEnd w:id="39"/>
      <w:r>
        <w:rPr>
          <w:w w:val="105"/>
        </w:rPr>
        <w:t>Concordato</w:t>
      </w:r>
    </w:p>
    <w:p>
      <w:pPr>
        <w:pStyle w:val="BodyText"/>
        <w:spacing w:before="1"/>
        <w:rPr>
          <w:b/>
          <w:sz w:val="23"/>
        </w:rPr>
      </w:pPr>
    </w:p>
    <w:p>
      <w:pPr>
        <w:pStyle w:val="BodyText"/>
        <w:spacing w:line="491" w:lineRule="auto"/>
        <w:ind w:left="400" w:right="2196"/>
        <w:jc w:val="both"/>
      </w:pPr>
      <w:r>
        <w:rPr>
          <w:w w:val="105"/>
        </w:rPr>
        <w:t>Sotto il profilo della convenienza, occorre precisare che la proposta concordataria consente una miglior e più celere soddisfazione del ceto creditorio,</w:t>
      </w:r>
      <w:r>
        <w:rPr>
          <w:spacing w:val="-8"/>
          <w:w w:val="105"/>
        </w:rPr>
        <w:t> </w:t>
      </w:r>
      <w:r>
        <w:rPr>
          <w:w w:val="105"/>
        </w:rPr>
        <w:t>rispetto</w:t>
      </w:r>
      <w:r>
        <w:rPr>
          <w:spacing w:val="-8"/>
          <w:w w:val="105"/>
        </w:rPr>
        <w:t> </w:t>
      </w:r>
      <w:r>
        <w:rPr>
          <w:w w:val="105"/>
        </w:rPr>
        <w:t>all’unica</w:t>
      </w:r>
      <w:r>
        <w:rPr>
          <w:spacing w:val="-9"/>
          <w:w w:val="105"/>
        </w:rPr>
        <w:t> </w:t>
      </w:r>
      <w:r>
        <w:rPr>
          <w:w w:val="105"/>
        </w:rPr>
        <w:t>alternativa</w:t>
      </w:r>
      <w:r>
        <w:rPr>
          <w:spacing w:val="-9"/>
          <w:w w:val="105"/>
        </w:rPr>
        <w:t> </w:t>
      </w:r>
      <w:r>
        <w:rPr>
          <w:w w:val="105"/>
        </w:rPr>
        <w:t>concretamente</w:t>
      </w:r>
      <w:r>
        <w:rPr>
          <w:spacing w:val="-8"/>
          <w:w w:val="105"/>
        </w:rPr>
        <w:t> </w:t>
      </w:r>
      <w:r>
        <w:rPr>
          <w:w w:val="105"/>
        </w:rPr>
        <w:t>praticabile,</w:t>
      </w:r>
      <w:r>
        <w:rPr>
          <w:spacing w:val="-8"/>
          <w:w w:val="105"/>
        </w:rPr>
        <w:t> </w:t>
      </w:r>
      <w:r>
        <w:rPr>
          <w:w w:val="105"/>
        </w:rPr>
        <w:t>ovverosia quella</w:t>
      </w:r>
      <w:r>
        <w:rPr>
          <w:spacing w:val="-4"/>
          <w:w w:val="105"/>
        </w:rPr>
        <w:t> </w:t>
      </w:r>
      <w:r>
        <w:rPr>
          <w:w w:val="105"/>
        </w:rPr>
        <w:t>fallimentare.</w:t>
      </w:r>
      <w:r>
        <w:rPr>
          <w:spacing w:val="-5"/>
          <w:w w:val="105"/>
        </w:rPr>
        <w:t> </w:t>
      </w:r>
      <w:r>
        <w:rPr>
          <w:w w:val="105"/>
        </w:rPr>
        <w:t>E</w:t>
      </w:r>
      <w:r>
        <w:rPr>
          <w:spacing w:val="-5"/>
          <w:w w:val="105"/>
        </w:rPr>
        <w:t> </w:t>
      </w:r>
      <w:r>
        <w:rPr>
          <w:w w:val="105"/>
        </w:rPr>
        <w:t>ciò,</w:t>
      </w:r>
      <w:r>
        <w:rPr>
          <w:spacing w:val="-5"/>
          <w:w w:val="105"/>
        </w:rPr>
        <w:t> </w:t>
      </w:r>
      <w:r>
        <w:rPr>
          <w:w w:val="105"/>
        </w:rPr>
        <w:t>in</w:t>
      </w:r>
      <w:r>
        <w:rPr>
          <w:spacing w:val="-5"/>
          <w:w w:val="105"/>
        </w:rPr>
        <w:t> </w:t>
      </w:r>
      <w:r>
        <w:rPr>
          <w:w w:val="105"/>
        </w:rPr>
        <w:t>particolare,</w:t>
      </w:r>
      <w:r>
        <w:rPr>
          <w:spacing w:val="-3"/>
          <w:w w:val="105"/>
        </w:rPr>
        <w:t> </w:t>
      </w:r>
      <w:r>
        <w:rPr>
          <w:w w:val="105"/>
        </w:rPr>
        <w:t>vale</w:t>
      </w:r>
      <w:r>
        <w:rPr>
          <w:spacing w:val="-5"/>
          <w:w w:val="105"/>
        </w:rPr>
        <w:t> </w:t>
      </w:r>
      <w:r>
        <w:rPr>
          <w:w w:val="105"/>
        </w:rPr>
        <w:t>per</w:t>
      </w:r>
      <w:r>
        <w:rPr>
          <w:spacing w:val="-5"/>
          <w:w w:val="105"/>
        </w:rPr>
        <w:t> </w:t>
      </w:r>
      <w:r>
        <w:rPr>
          <w:w w:val="105"/>
        </w:rPr>
        <w:t>i</w:t>
      </w:r>
      <w:r>
        <w:rPr>
          <w:spacing w:val="-5"/>
          <w:w w:val="105"/>
        </w:rPr>
        <w:t> </w:t>
      </w:r>
      <w:r>
        <w:rPr>
          <w:w w:val="105"/>
        </w:rPr>
        <w:t>creditori</w:t>
      </w:r>
      <w:r>
        <w:rPr>
          <w:spacing w:val="-4"/>
          <w:w w:val="105"/>
        </w:rPr>
        <w:t> </w:t>
      </w:r>
      <w:r>
        <w:rPr>
          <w:w w:val="105"/>
        </w:rPr>
        <w:t>chirografari</w:t>
      </w:r>
      <w:r>
        <w:rPr>
          <w:spacing w:val="-7"/>
          <w:w w:val="105"/>
        </w:rPr>
        <w:t> </w:t>
      </w:r>
      <w:r>
        <w:rPr>
          <w:w w:val="105"/>
        </w:rPr>
        <w:t>che, solo in ipotesi concordataria, potrebbero essere soddisfatti al 100% (cento percento),</w:t>
      </w:r>
      <w:r>
        <w:rPr>
          <w:spacing w:val="-35"/>
          <w:w w:val="105"/>
        </w:rPr>
        <w:t> </w:t>
      </w:r>
      <w:r>
        <w:rPr>
          <w:w w:val="105"/>
        </w:rPr>
        <w:t>considerato</w:t>
      </w:r>
      <w:r>
        <w:rPr>
          <w:spacing w:val="-35"/>
          <w:w w:val="105"/>
        </w:rPr>
        <w:t> </w:t>
      </w:r>
      <w:r>
        <w:rPr>
          <w:w w:val="105"/>
        </w:rPr>
        <w:t>che:</w:t>
      </w:r>
    </w:p>
    <w:p>
      <w:pPr>
        <w:pStyle w:val="ListParagraph"/>
        <w:numPr>
          <w:ilvl w:val="0"/>
          <w:numId w:val="31"/>
        </w:numPr>
        <w:tabs>
          <w:tab w:pos="1200" w:val="left" w:leader="none"/>
          <w:tab w:pos="1201" w:val="left" w:leader="none"/>
        </w:tabs>
        <w:spacing w:line="253" w:lineRule="exact" w:before="0" w:after="0"/>
        <w:ind w:left="1200" w:right="0" w:hanging="532"/>
        <w:jc w:val="left"/>
        <w:rPr>
          <w:sz w:val="22"/>
        </w:rPr>
      </w:pPr>
      <w:r>
        <w:rPr>
          <w:w w:val="105"/>
          <w:sz w:val="22"/>
        </w:rPr>
        <w:t>in caso di mancata ammissione della presente proposta, si</w:t>
      </w:r>
      <w:r>
        <w:rPr>
          <w:spacing w:val="-19"/>
          <w:w w:val="105"/>
          <w:sz w:val="22"/>
        </w:rPr>
        <w:t> </w:t>
      </w:r>
      <w:r>
        <w:rPr>
          <w:w w:val="105"/>
          <w:sz w:val="22"/>
        </w:rPr>
        <w:t>avrebbe</w:t>
      </w:r>
    </w:p>
    <w:p>
      <w:pPr>
        <w:pStyle w:val="BodyText"/>
        <w:spacing w:before="8"/>
      </w:pPr>
    </w:p>
    <w:p>
      <w:pPr>
        <w:pStyle w:val="BodyText"/>
        <w:spacing w:line="491" w:lineRule="auto"/>
        <w:ind w:left="1200" w:right="2198"/>
        <w:jc w:val="both"/>
      </w:pPr>
      <w:r>
        <w:rPr>
          <w:w w:val="105"/>
        </w:rPr>
        <w:t>la caducazione dell’Offerta Versalis, che presuppone l’ammissione di tutta la Società del Perimetro Bio alla procedura di concordato preventivo ex art. 163 l. fall.;</w:t>
      </w:r>
    </w:p>
    <w:p>
      <w:pPr>
        <w:pStyle w:val="ListParagraph"/>
        <w:numPr>
          <w:ilvl w:val="0"/>
          <w:numId w:val="31"/>
        </w:numPr>
        <w:tabs>
          <w:tab w:pos="1200" w:val="left" w:leader="none"/>
          <w:tab w:pos="1201" w:val="left" w:leader="none"/>
        </w:tabs>
        <w:spacing w:line="253" w:lineRule="exact" w:before="0" w:after="0"/>
        <w:ind w:left="1200" w:right="0" w:hanging="532"/>
        <w:jc w:val="left"/>
        <w:rPr>
          <w:sz w:val="22"/>
        </w:rPr>
      </w:pPr>
      <w:r>
        <w:rPr>
          <w:w w:val="105"/>
          <w:sz w:val="22"/>
        </w:rPr>
        <w:t>la  liquidazione  degli  assets  in  sede  fallimentare,</w:t>
      </w:r>
      <w:r>
        <w:rPr>
          <w:spacing w:val="53"/>
          <w:w w:val="105"/>
          <w:sz w:val="22"/>
        </w:rPr>
        <w:t> </w:t>
      </w:r>
      <w:r>
        <w:rPr>
          <w:w w:val="105"/>
          <w:sz w:val="22"/>
        </w:rPr>
        <w:t>notoriamente,</w:t>
      </w:r>
    </w:p>
    <w:p>
      <w:pPr>
        <w:pStyle w:val="BodyText"/>
        <w:spacing w:before="8"/>
      </w:pPr>
    </w:p>
    <w:p>
      <w:pPr>
        <w:pStyle w:val="BodyText"/>
        <w:spacing w:line="491" w:lineRule="auto"/>
        <w:ind w:left="1200" w:right="2196"/>
        <w:jc w:val="both"/>
      </w:pPr>
      <w:r>
        <w:rPr>
          <w:w w:val="105"/>
        </w:rPr>
        <w:t>sconta un minor valore di realizzo rispetto alle analoghe vendite</w:t>
      </w:r>
      <w:r>
        <w:rPr>
          <w:spacing w:val="-33"/>
          <w:w w:val="105"/>
        </w:rPr>
        <w:t> </w:t>
      </w:r>
      <w:r>
        <w:rPr>
          <w:w w:val="105"/>
        </w:rPr>
        <w:t>in sede concordataria e questo, appare tanto più vero nel caso di specie in cui è essenziale al fine della conservazione del valore aziendale,</w:t>
      </w:r>
      <w:r>
        <w:rPr>
          <w:spacing w:val="-21"/>
          <w:w w:val="105"/>
        </w:rPr>
        <w:t> </w:t>
      </w:r>
      <w:r>
        <w:rPr>
          <w:w w:val="105"/>
        </w:rPr>
        <w:t>la</w:t>
      </w:r>
      <w:r>
        <w:rPr>
          <w:spacing w:val="-21"/>
          <w:w w:val="105"/>
        </w:rPr>
        <w:t> </w:t>
      </w:r>
      <w:r>
        <w:rPr>
          <w:w w:val="105"/>
        </w:rPr>
        <w:t>tempestiva</w:t>
      </w:r>
      <w:r>
        <w:rPr>
          <w:spacing w:val="-23"/>
          <w:w w:val="105"/>
        </w:rPr>
        <w:t> </w:t>
      </w:r>
      <w:r>
        <w:rPr>
          <w:w w:val="105"/>
        </w:rPr>
        <w:t>esecuzione</w:t>
      </w:r>
      <w:r>
        <w:rPr>
          <w:spacing w:val="-23"/>
          <w:w w:val="105"/>
        </w:rPr>
        <w:t> </w:t>
      </w:r>
      <w:r>
        <w:rPr>
          <w:w w:val="105"/>
        </w:rPr>
        <w:t>delle</w:t>
      </w:r>
      <w:r>
        <w:rPr>
          <w:spacing w:val="-22"/>
          <w:w w:val="105"/>
        </w:rPr>
        <w:t> </w:t>
      </w:r>
      <w:r>
        <w:rPr>
          <w:w w:val="105"/>
        </w:rPr>
        <w:t>richieste</w:t>
      </w:r>
      <w:r>
        <w:rPr>
          <w:spacing w:val="-23"/>
          <w:w w:val="105"/>
        </w:rPr>
        <w:t> </w:t>
      </w:r>
      <w:r>
        <w:rPr>
          <w:w w:val="105"/>
        </w:rPr>
        <w:t>aste;</w:t>
      </w:r>
    </w:p>
    <w:p>
      <w:pPr>
        <w:pStyle w:val="ListParagraph"/>
        <w:numPr>
          <w:ilvl w:val="0"/>
          <w:numId w:val="31"/>
        </w:numPr>
        <w:tabs>
          <w:tab w:pos="1201" w:val="left" w:leader="none"/>
        </w:tabs>
        <w:spacing w:line="253" w:lineRule="exact" w:before="0" w:after="0"/>
        <w:ind w:left="1200" w:right="0" w:hanging="532"/>
        <w:jc w:val="left"/>
        <w:rPr>
          <w:sz w:val="22"/>
        </w:rPr>
      </w:pPr>
      <w:r>
        <w:rPr>
          <w:w w:val="105"/>
          <w:sz w:val="22"/>
        </w:rPr>
        <w:t>la</w:t>
      </w:r>
      <w:r>
        <w:rPr>
          <w:spacing w:val="-34"/>
          <w:w w:val="105"/>
          <w:sz w:val="22"/>
        </w:rPr>
        <w:t> </w:t>
      </w:r>
      <w:r>
        <w:rPr>
          <w:w w:val="105"/>
          <w:sz w:val="22"/>
        </w:rPr>
        <w:t>caducazione</w:t>
      </w:r>
      <w:r>
        <w:rPr>
          <w:spacing w:val="-34"/>
          <w:w w:val="105"/>
          <w:sz w:val="22"/>
        </w:rPr>
        <w:t> </w:t>
      </w:r>
      <w:r>
        <w:rPr>
          <w:w w:val="105"/>
          <w:sz w:val="22"/>
        </w:rPr>
        <w:t>dell’Impegno</w:t>
      </w:r>
      <w:r>
        <w:rPr>
          <w:spacing w:val="-34"/>
          <w:w w:val="105"/>
          <w:sz w:val="22"/>
        </w:rPr>
        <w:t> </w:t>
      </w:r>
      <w:r>
        <w:rPr>
          <w:w w:val="105"/>
          <w:sz w:val="22"/>
        </w:rPr>
        <w:t>Ghisolfi;</w:t>
      </w:r>
    </w:p>
    <w:p>
      <w:pPr>
        <w:pStyle w:val="BodyText"/>
        <w:spacing w:before="3"/>
        <w:rPr>
          <w:sz w:val="21"/>
        </w:rPr>
      </w:pPr>
    </w:p>
    <w:p>
      <w:pPr>
        <w:pStyle w:val="ListParagraph"/>
        <w:numPr>
          <w:ilvl w:val="0"/>
          <w:numId w:val="31"/>
        </w:numPr>
        <w:tabs>
          <w:tab w:pos="1200" w:val="left" w:leader="none"/>
          <w:tab w:pos="1201" w:val="left" w:leader="none"/>
        </w:tabs>
        <w:spacing w:line="465" w:lineRule="auto" w:before="0" w:after="0"/>
        <w:ind w:left="1200" w:right="2197" w:hanging="532"/>
        <w:jc w:val="left"/>
        <w:rPr>
          <w:sz w:val="22"/>
        </w:rPr>
      </w:pPr>
      <w:r>
        <w:rPr>
          <w:w w:val="105"/>
          <w:sz w:val="22"/>
        </w:rPr>
        <w:t>in caso di mancata ammissione della presente proposta, si avrebbe la</w:t>
      </w:r>
      <w:r>
        <w:rPr>
          <w:spacing w:val="-26"/>
          <w:w w:val="105"/>
          <w:sz w:val="22"/>
        </w:rPr>
        <w:t> </w:t>
      </w:r>
      <w:r>
        <w:rPr>
          <w:w w:val="105"/>
          <w:sz w:val="22"/>
        </w:rPr>
        <w:t>caducazione</w:t>
      </w:r>
      <w:r>
        <w:rPr>
          <w:spacing w:val="-26"/>
          <w:w w:val="105"/>
          <w:sz w:val="22"/>
        </w:rPr>
        <w:t> </w:t>
      </w:r>
      <w:r>
        <w:rPr>
          <w:w w:val="105"/>
          <w:sz w:val="22"/>
        </w:rPr>
        <w:t>della</w:t>
      </w:r>
      <w:r>
        <w:rPr>
          <w:spacing w:val="-26"/>
          <w:w w:val="105"/>
          <w:sz w:val="22"/>
        </w:rPr>
        <w:t> </w:t>
      </w:r>
      <w:r>
        <w:rPr>
          <w:w w:val="105"/>
          <w:sz w:val="22"/>
        </w:rPr>
        <w:t>Transazione</w:t>
      </w:r>
      <w:r>
        <w:rPr>
          <w:spacing w:val="-27"/>
          <w:w w:val="105"/>
          <w:sz w:val="22"/>
        </w:rPr>
        <w:t> </w:t>
      </w:r>
      <w:r>
        <w:rPr>
          <w:w w:val="105"/>
          <w:sz w:val="22"/>
        </w:rPr>
        <w:t>GranBio;</w:t>
      </w:r>
    </w:p>
    <w:p>
      <w:pPr>
        <w:pStyle w:val="ListParagraph"/>
        <w:numPr>
          <w:ilvl w:val="0"/>
          <w:numId w:val="31"/>
        </w:numPr>
        <w:tabs>
          <w:tab w:pos="1200" w:val="left" w:leader="none"/>
          <w:tab w:pos="1201" w:val="left" w:leader="none"/>
        </w:tabs>
        <w:spacing w:line="240" w:lineRule="auto" w:before="10" w:after="0"/>
        <w:ind w:left="1200" w:right="0" w:hanging="532"/>
        <w:jc w:val="left"/>
        <w:rPr>
          <w:sz w:val="22"/>
        </w:rPr>
      </w:pPr>
      <w:r>
        <w:rPr>
          <w:w w:val="105"/>
          <w:sz w:val="22"/>
        </w:rPr>
        <w:t>la</w:t>
      </w:r>
      <w:r>
        <w:rPr>
          <w:spacing w:val="-29"/>
          <w:w w:val="105"/>
          <w:sz w:val="22"/>
        </w:rPr>
        <w:t> </w:t>
      </w:r>
      <w:r>
        <w:rPr>
          <w:w w:val="105"/>
          <w:sz w:val="22"/>
        </w:rPr>
        <w:t>caducazione</w:t>
      </w:r>
      <w:r>
        <w:rPr>
          <w:spacing w:val="-29"/>
          <w:w w:val="105"/>
          <w:sz w:val="22"/>
        </w:rPr>
        <w:t> </w:t>
      </w:r>
      <w:r>
        <w:rPr>
          <w:w w:val="105"/>
          <w:sz w:val="22"/>
        </w:rPr>
        <w:t>dell’Impegno</w:t>
      </w:r>
      <w:r>
        <w:rPr>
          <w:spacing w:val="-30"/>
          <w:w w:val="105"/>
          <w:sz w:val="22"/>
        </w:rPr>
        <w:t> </w:t>
      </w:r>
      <w:r>
        <w:rPr>
          <w:w w:val="105"/>
          <w:sz w:val="22"/>
        </w:rPr>
        <w:t>Eredi</w:t>
      </w:r>
      <w:r>
        <w:rPr>
          <w:spacing w:val="-29"/>
          <w:w w:val="105"/>
          <w:sz w:val="22"/>
        </w:rPr>
        <w:t> </w:t>
      </w:r>
      <w:r>
        <w:rPr>
          <w:w w:val="105"/>
          <w:sz w:val="22"/>
        </w:rPr>
        <w:t>Ghisolfi;</w:t>
      </w:r>
    </w:p>
    <w:p>
      <w:pPr>
        <w:pStyle w:val="BodyText"/>
        <w:spacing w:before="2"/>
        <w:rPr>
          <w:sz w:val="21"/>
        </w:rPr>
      </w:pPr>
    </w:p>
    <w:p>
      <w:pPr>
        <w:pStyle w:val="ListParagraph"/>
        <w:numPr>
          <w:ilvl w:val="0"/>
          <w:numId w:val="31"/>
        </w:numPr>
        <w:tabs>
          <w:tab w:pos="1058" w:val="left" w:leader="none"/>
        </w:tabs>
        <w:spacing w:line="240" w:lineRule="auto" w:before="0" w:after="0"/>
        <w:ind w:left="1058" w:right="0" w:hanging="390"/>
        <w:jc w:val="left"/>
        <w:rPr>
          <w:sz w:val="22"/>
        </w:rPr>
      </w:pPr>
      <w:r>
        <w:rPr>
          <w:w w:val="105"/>
          <w:sz w:val="22"/>
        </w:rPr>
        <w:t>la</w:t>
      </w:r>
      <w:r>
        <w:rPr>
          <w:spacing w:val="-31"/>
          <w:w w:val="105"/>
          <w:sz w:val="22"/>
        </w:rPr>
        <w:t> </w:t>
      </w:r>
      <w:r>
        <w:rPr>
          <w:w w:val="105"/>
          <w:sz w:val="22"/>
        </w:rPr>
        <w:t>caducazione</w:t>
      </w:r>
      <w:r>
        <w:rPr>
          <w:spacing w:val="-32"/>
          <w:w w:val="105"/>
          <w:sz w:val="22"/>
        </w:rPr>
        <w:t> </w:t>
      </w:r>
      <w:r>
        <w:rPr>
          <w:w w:val="105"/>
          <w:sz w:val="22"/>
        </w:rPr>
        <w:t>della</w:t>
      </w:r>
      <w:r>
        <w:rPr>
          <w:spacing w:val="-31"/>
          <w:w w:val="105"/>
          <w:sz w:val="22"/>
        </w:rPr>
        <w:t> </w:t>
      </w:r>
      <w:r>
        <w:rPr>
          <w:w w:val="105"/>
          <w:sz w:val="22"/>
        </w:rPr>
        <w:t>Postergazione</w:t>
      </w:r>
      <w:r>
        <w:rPr>
          <w:spacing w:val="-31"/>
          <w:w w:val="105"/>
          <w:sz w:val="22"/>
        </w:rPr>
        <w:t> </w:t>
      </w:r>
      <w:r>
        <w:rPr>
          <w:w w:val="105"/>
          <w:sz w:val="22"/>
        </w:rPr>
        <w:t>Novozymes;</w:t>
      </w:r>
    </w:p>
    <w:p>
      <w:pPr>
        <w:pStyle w:val="BodyText"/>
        <w:rPr>
          <w:sz w:val="21"/>
        </w:rPr>
      </w:pPr>
    </w:p>
    <w:p>
      <w:pPr>
        <w:pStyle w:val="ListParagraph"/>
        <w:numPr>
          <w:ilvl w:val="0"/>
          <w:numId w:val="31"/>
        </w:numPr>
        <w:tabs>
          <w:tab w:pos="1201" w:val="left" w:leader="none"/>
        </w:tabs>
        <w:spacing w:line="468" w:lineRule="auto" w:before="1" w:after="0"/>
        <w:ind w:left="1200" w:right="2196" w:hanging="532"/>
        <w:jc w:val="left"/>
        <w:rPr>
          <w:sz w:val="22"/>
        </w:rPr>
      </w:pPr>
      <w:r>
        <w:rPr>
          <w:w w:val="105"/>
          <w:sz w:val="22"/>
        </w:rPr>
        <w:t>l’Incasso</w:t>
      </w:r>
      <w:r>
        <w:rPr>
          <w:spacing w:val="-18"/>
          <w:w w:val="105"/>
          <w:sz w:val="22"/>
        </w:rPr>
        <w:t> </w:t>
      </w:r>
      <w:r>
        <w:rPr>
          <w:w w:val="105"/>
          <w:sz w:val="22"/>
        </w:rPr>
        <w:t>Crediti</w:t>
      </w:r>
      <w:r>
        <w:rPr>
          <w:spacing w:val="-18"/>
          <w:w w:val="105"/>
          <w:sz w:val="22"/>
        </w:rPr>
        <w:t> </w:t>
      </w:r>
      <w:r>
        <w:rPr>
          <w:w w:val="105"/>
          <w:sz w:val="22"/>
        </w:rPr>
        <w:t>sarebbe</w:t>
      </w:r>
      <w:r>
        <w:rPr>
          <w:spacing w:val="-19"/>
          <w:w w:val="105"/>
          <w:sz w:val="22"/>
        </w:rPr>
        <w:t> </w:t>
      </w:r>
      <w:r>
        <w:rPr>
          <w:w w:val="105"/>
          <w:sz w:val="22"/>
        </w:rPr>
        <w:t>maggiormente</w:t>
      </w:r>
      <w:r>
        <w:rPr>
          <w:spacing w:val="-18"/>
          <w:w w:val="105"/>
          <w:sz w:val="22"/>
        </w:rPr>
        <w:t> </w:t>
      </w:r>
      <w:r>
        <w:rPr>
          <w:w w:val="105"/>
          <w:sz w:val="22"/>
        </w:rPr>
        <w:t>rallentato</w:t>
      </w:r>
      <w:r>
        <w:rPr>
          <w:spacing w:val="-18"/>
          <w:w w:val="105"/>
          <w:sz w:val="22"/>
        </w:rPr>
        <w:t> </w:t>
      </w:r>
      <w:r>
        <w:rPr>
          <w:w w:val="105"/>
          <w:sz w:val="22"/>
        </w:rPr>
        <w:t>e</w:t>
      </w:r>
      <w:r>
        <w:rPr>
          <w:spacing w:val="-18"/>
          <w:w w:val="105"/>
          <w:sz w:val="22"/>
        </w:rPr>
        <w:t> </w:t>
      </w:r>
      <w:r>
        <w:rPr>
          <w:w w:val="105"/>
          <w:sz w:val="22"/>
        </w:rPr>
        <w:t>gravato</w:t>
      </w:r>
      <w:r>
        <w:rPr>
          <w:spacing w:val="-18"/>
          <w:w w:val="105"/>
          <w:sz w:val="22"/>
        </w:rPr>
        <w:t> </w:t>
      </w:r>
      <w:r>
        <w:rPr>
          <w:w w:val="105"/>
          <w:sz w:val="22"/>
        </w:rPr>
        <w:t>da</w:t>
      </w:r>
      <w:r>
        <w:rPr>
          <w:spacing w:val="-18"/>
          <w:w w:val="105"/>
          <w:sz w:val="22"/>
        </w:rPr>
        <w:t> </w:t>
      </w:r>
      <w:r>
        <w:rPr>
          <w:w w:val="105"/>
          <w:sz w:val="22"/>
        </w:rPr>
        <w:t>costi superiori  rispetto  allo  scenario  concordatario,  poiché </w:t>
      </w:r>
      <w:r>
        <w:rPr>
          <w:spacing w:val="52"/>
          <w:w w:val="105"/>
          <w:sz w:val="22"/>
        </w:rPr>
        <w:t> </w:t>
      </w:r>
      <w:r>
        <w:rPr>
          <w:w w:val="105"/>
          <w:sz w:val="22"/>
        </w:rPr>
        <w:t>l’organo</w:t>
      </w:r>
    </w:p>
    <w:p>
      <w:pPr>
        <w:spacing w:after="0" w:line="468" w:lineRule="auto"/>
        <w:jc w:val="left"/>
        <w:rPr>
          <w:sz w:val="22"/>
        </w:rPr>
        <w:sectPr>
          <w:pgSz w:w="12240" w:h="15840"/>
          <w:pgMar w:header="0" w:footer="790" w:top="1500" w:bottom="980" w:left="1720" w:right="1200"/>
        </w:sectPr>
      </w:pPr>
    </w:p>
    <w:p>
      <w:pPr>
        <w:pStyle w:val="BodyText"/>
        <w:spacing w:line="491" w:lineRule="auto" w:before="105"/>
        <w:ind w:left="1200" w:right="2195"/>
        <w:jc w:val="both"/>
      </w:pPr>
      <w:r>
        <w:rPr>
          <w:w w:val="105"/>
        </w:rPr>
        <w:t>amministrativo della Società ha già dimostrato di profondere notevoli sforzi in quest’attività, ottenendo i relativi pagamenti, senza dover ricorrere a defatiganti iniziative giudiziarie, grazie alla conoscenza diretta della propria clientela maturata nel corso degli anni ed ai buoni rapporti commerciali consolidati con essa.</w:t>
      </w:r>
    </w:p>
    <w:p>
      <w:pPr>
        <w:pStyle w:val="BodyText"/>
        <w:spacing w:line="491" w:lineRule="auto" w:before="1"/>
        <w:ind w:left="400" w:right="2197"/>
        <w:jc w:val="both"/>
      </w:pPr>
      <w:r>
        <w:rPr>
          <w:w w:val="105"/>
        </w:rPr>
        <w:t>Valga qui ribadire quanto osservato in precedenza, rispetto allo scenario alternativo fallimentare che, ferma la sua rilevanza in termini di sola convenienza, trova adeguata neutralizzazione negli elementi che precedono e, soprattutto, in quelli che sono rappresentati nel successivo.</w:t>
      </w:r>
    </w:p>
    <w:p>
      <w:pPr>
        <w:pStyle w:val="BodyText"/>
        <w:ind w:left="476" w:right="2272"/>
        <w:jc w:val="center"/>
      </w:pPr>
      <w:r>
        <w:rPr>
          <w:w w:val="105"/>
        </w:rPr>
        <w:t>* * *</w:t>
      </w:r>
    </w:p>
    <w:p>
      <w:pPr>
        <w:pStyle w:val="BodyText"/>
        <w:spacing w:before="2"/>
        <w:rPr>
          <w:sz w:val="23"/>
        </w:rPr>
      </w:pPr>
    </w:p>
    <w:p>
      <w:pPr>
        <w:pStyle w:val="Heading2"/>
        <w:numPr>
          <w:ilvl w:val="1"/>
          <w:numId w:val="18"/>
        </w:numPr>
        <w:tabs>
          <w:tab w:pos="1066" w:val="left" w:leader="none"/>
        </w:tabs>
        <w:spacing w:line="240" w:lineRule="auto" w:before="0" w:after="0"/>
        <w:ind w:left="1065" w:right="0" w:hanging="665"/>
        <w:jc w:val="both"/>
      </w:pPr>
      <w:bookmarkStart w:name="_TOC_250012" w:id="40"/>
      <w:r>
        <w:rPr>
          <w:w w:val="105"/>
        </w:rPr>
        <w:t>Il</w:t>
      </w:r>
      <w:r>
        <w:rPr>
          <w:spacing w:val="-17"/>
          <w:w w:val="105"/>
        </w:rPr>
        <w:t> </w:t>
      </w:r>
      <w:bookmarkEnd w:id="40"/>
      <w:r>
        <w:rPr>
          <w:w w:val="105"/>
        </w:rPr>
        <w:t>Piano</w:t>
      </w:r>
    </w:p>
    <w:p>
      <w:pPr>
        <w:pStyle w:val="BodyText"/>
        <w:spacing w:before="1"/>
        <w:rPr>
          <w:b/>
          <w:sz w:val="23"/>
        </w:rPr>
      </w:pPr>
    </w:p>
    <w:p>
      <w:pPr>
        <w:pStyle w:val="BodyText"/>
        <w:ind w:left="400"/>
        <w:jc w:val="both"/>
      </w:pPr>
      <w:r>
        <w:rPr>
          <w:w w:val="105"/>
        </w:rPr>
        <w:t>La Proposta è formulata prendendo a riferimento:</w:t>
      </w:r>
    </w:p>
    <w:p>
      <w:pPr>
        <w:pStyle w:val="BodyText"/>
        <w:spacing w:before="2"/>
        <w:rPr>
          <w:sz w:val="23"/>
        </w:rPr>
      </w:pPr>
    </w:p>
    <w:p>
      <w:pPr>
        <w:pStyle w:val="ListParagraph"/>
        <w:numPr>
          <w:ilvl w:val="0"/>
          <w:numId w:val="32"/>
        </w:numPr>
        <w:tabs>
          <w:tab w:pos="1142" w:val="left" w:leader="none"/>
        </w:tabs>
        <w:spacing w:line="482" w:lineRule="auto" w:before="0" w:after="0"/>
        <w:ind w:left="1142" w:right="2195" w:hanging="339"/>
        <w:jc w:val="both"/>
        <w:rPr>
          <w:sz w:val="22"/>
        </w:rPr>
      </w:pPr>
      <w:r>
        <w:rPr>
          <w:w w:val="105"/>
          <w:sz w:val="22"/>
        </w:rPr>
        <w:t>per quanto attiene all’attivo concordatario, i dati patrimoniali al 15 ottobre 2017, quale dato base del Piano e sue successive</w:t>
      </w:r>
      <w:r>
        <w:rPr>
          <w:spacing w:val="-22"/>
          <w:w w:val="105"/>
          <w:sz w:val="22"/>
        </w:rPr>
        <w:t> </w:t>
      </w:r>
      <w:r>
        <w:rPr>
          <w:w w:val="105"/>
          <w:sz w:val="22"/>
        </w:rPr>
        <w:t>evoluzioni sino a completamento del processo di liquidazione della Società, oggetto</w:t>
      </w:r>
      <w:r>
        <w:rPr>
          <w:spacing w:val="-19"/>
          <w:w w:val="105"/>
          <w:sz w:val="22"/>
        </w:rPr>
        <w:t> </w:t>
      </w:r>
      <w:r>
        <w:rPr>
          <w:w w:val="105"/>
          <w:sz w:val="22"/>
        </w:rPr>
        <w:t>di</w:t>
      </w:r>
      <w:r>
        <w:rPr>
          <w:spacing w:val="-19"/>
          <w:w w:val="105"/>
          <w:sz w:val="22"/>
        </w:rPr>
        <w:t> </w:t>
      </w:r>
      <w:r>
        <w:rPr>
          <w:w w:val="105"/>
          <w:sz w:val="22"/>
        </w:rPr>
        <w:t>dettagliata</w:t>
      </w:r>
      <w:r>
        <w:rPr>
          <w:spacing w:val="-19"/>
          <w:w w:val="105"/>
          <w:sz w:val="22"/>
        </w:rPr>
        <w:t> </w:t>
      </w:r>
      <w:r>
        <w:rPr>
          <w:w w:val="105"/>
          <w:sz w:val="22"/>
        </w:rPr>
        <w:t>descrizione</w:t>
      </w:r>
      <w:r>
        <w:rPr>
          <w:spacing w:val="-19"/>
          <w:w w:val="105"/>
          <w:sz w:val="22"/>
        </w:rPr>
        <w:t> </w:t>
      </w:r>
      <w:r>
        <w:rPr>
          <w:w w:val="105"/>
          <w:sz w:val="22"/>
        </w:rPr>
        <w:t>nei</w:t>
      </w:r>
      <w:r>
        <w:rPr>
          <w:spacing w:val="-19"/>
          <w:w w:val="105"/>
          <w:sz w:val="22"/>
        </w:rPr>
        <w:t> </w:t>
      </w:r>
      <w:r>
        <w:rPr>
          <w:w w:val="105"/>
          <w:sz w:val="22"/>
        </w:rPr>
        <w:t>documenti</w:t>
      </w:r>
      <w:r>
        <w:rPr>
          <w:spacing w:val="-19"/>
          <w:w w:val="105"/>
          <w:sz w:val="22"/>
        </w:rPr>
        <w:t> </w:t>
      </w:r>
      <w:r>
        <w:rPr>
          <w:w w:val="105"/>
          <w:sz w:val="22"/>
        </w:rPr>
        <w:t>allegati</w:t>
      </w:r>
      <w:r>
        <w:rPr>
          <w:spacing w:val="-19"/>
          <w:w w:val="105"/>
          <w:sz w:val="22"/>
        </w:rPr>
        <w:t> </w:t>
      </w:r>
      <w:r>
        <w:rPr>
          <w:i/>
          <w:w w:val="105"/>
          <w:sz w:val="22"/>
        </w:rPr>
        <w:t>sub</w:t>
      </w:r>
      <w:r>
        <w:rPr>
          <w:i/>
          <w:spacing w:val="-20"/>
          <w:w w:val="105"/>
          <w:sz w:val="22"/>
        </w:rPr>
        <w:t> </w:t>
      </w:r>
      <w:r>
        <w:rPr>
          <w:w w:val="105"/>
          <w:sz w:val="22"/>
        </w:rPr>
        <w:t>doc.</w:t>
      </w:r>
      <w:r>
        <w:rPr>
          <w:spacing w:val="-19"/>
          <w:w w:val="105"/>
          <w:sz w:val="22"/>
        </w:rPr>
        <w:t> </w:t>
      </w:r>
      <w:r>
        <w:rPr>
          <w:w w:val="105"/>
          <w:sz w:val="22"/>
        </w:rPr>
        <w:t>66;</w:t>
      </w:r>
    </w:p>
    <w:p>
      <w:pPr>
        <w:pStyle w:val="ListParagraph"/>
        <w:numPr>
          <w:ilvl w:val="0"/>
          <w:numId w:val="32"/>
        </w:numPr>
        <w:tabs>
          <w:tab w:pos="1142" w:val="left" w:leader="none"/>
        </w:tabs>
        <w:spacing w:line="477" w:lineRule="auto" w:before="11" w:after="0"/>
        <w:ind w:left="1142" w:right="2196" w:hanging="339"/>
        <w:jc w:val="both"/>
        <w:rPr>
          <w:sz w:val="22"/>
        </w:rPr>
      </w:pPr>
      <w:r>
        <w:rPr>
          <w:w w:val="105"/>
          <w:sz w:val="22"/>
        </w:rPr>
        <w:t>per quanto attiene al passivo concordatario, i dati patrimoniali alla Data di Riferimento oggetto di dettagliata descrizione nel documento</w:t>
      </w:r>
      <w:r>
        <w:rPr>
          <w:spacing w:val="-20"/>
          <w:w w:val="105"/>
          <w:sz w:val="22"/>
        </w:rPr>
        <w:t> </w:t>
      </w:r>
      <w:r>
        <w:rPr>
          <w:w w:val="105"/>
          <w:sz w:val="22"/>
        </w:rPr>
        <w:t>allegato</w:t>
      </w:r>
      <w:r>
        <w:rPr>
          <w:spacing w:val="-21"/>
          <w:w w:val="105"/>
          <w:sz w:val="22"/>
        </w:rPr>
        <w:t> </w:t>
      </w:r>
      <w:r>
        <w:rPr>
          <w:i/>
          <w:w w:val="105"/>
          <w:sz w:val="22"/>
        </w:rPr>
        <w:t>sub</w:t>
      </w:r>
      <w:r>
        <w:rPr>
          <w:i/>
          <w:spacing w:val="-21"/>
          <w:w w:val="105"/>
          <w:sz w:val="22"/>
        </w:rPr>
        <w:t> </w:t>
      </w:r>
      <w:r>
        <w:rPr>
          <w:w w:val="105"/>
          <w:sz w:val="22"/>
        </w:rPr>
        <w:t>doc.</w:t>
      </w:r>
      <w:r>
        <w:rPr>
          <w:spacing w:val="-20"/>
          <w:w w:val="105"/>
          <w:sz w:val="22"/>
        </w:rPr>
        <w:t> </w:t>
      </w:r>
      <w:r>
        <w:rPr>
          <w:w w:val="105"/>
          <w:sz w:val="22"/>
        </w:rPr>
        <w:t>66,</w:t>
      </w:r>
    </w:p>
    <w:p>
      <w:pPr>
        <w:pStyle w:val="BodyText"/>
        <w:spacing w:before="16"/>
        <w:ind w:left="400"/>
        <w:jc w:val="both"/>
      </w:pPr>
      <w:r>
        <w:rPr>
          <w:w w:val="105"/>
        </w:rPr>
        <w:t>il tutto articolandosi in base a quanto descritto nel Piano.</w:t>
      </w:r>
    </w:p>
    <w:p>
      <w:pPr>
        <w:pStyle w:val="BodyText"/>
        <w:spacing w:before="1"/>
        <w:rPr>
          <w:sz w:val="23"/>
        </w:rPr>
      </w:pPr>
    </w:p>
    <w:p>
      <w:pPr>
        <w:pStyle w:val="BodyText"/>
        <w:spacing w:line="491" w:lineRule="auto"/>
        <w:ind w:left="400" w:right="2200"/>
      </w:pPr>
      <w:r>
        <w:rPr>
          <w:w w:val="105"/>
        </w:rPr>
        <w:t>Come precedentemente esposto, il Piano apposta i debiti di natura prededucibile, privilegiata (generali e speciali) e chirografaria.</w:t>
      </w:r>
    </w:p>
    <w:p>
      <w:pPr>
        <w:pStyle w:val="BodyText"/>
        <w:spacing w:before="1"/>
        <w:ind w:left="400"/>
        <w:jc w:val="both"/>
      </w:pPr>
      <w:r>
        <w:rPr>
          <w:w w:val="105"/>
        </w:rPr>
        <w:t>Si rappresentano di seguito in sintesi le voci che costituiscono il Piano.</w:t>
      </w:r>
    </w:p>
    <w:p>
      <w:pPr>
        <w:spacing w:after="0"/>
        <w:jc w:val="both"/>
        <w:sectPr>
          <w:pgSz w:w="12240" w:h="15840"/>
          <w:pgMar w:header="0" w:footer="790" w:top="1500" w:bottom="980" w:left="1720" w:right="1200"/>
        </w:sectPr>
      </w:pPr>
    </w:p>
    <w:p>
      <w:pPr>
        <w:pStyle w:val="BodyText"/>
        <w:spacing w:before="6"/>
        <w:rPr>
          <w:sz w:val="8"/>
        </w:rPr>
      </w:pPr>
    </w:p>
    <w:p>
      <w:pPr>
        <w:pStyle w:val="BodyText"/>
        <w:ind w:left="395"/>
        <w:rPr>
          <w:sz w:val="20"/>
        </w:rPr>
      </w:pPr>
      <w:r>
        <w:rPr>
          <w:sz w:val="20"/>
        </w:rPr>
        <w:drawing>
          <wp:inline distT="0" distB="0" distL="0" distR="0">
            <wp:extent cx="4248151" cy="2814637"/>
            <wp:effectExtent l="0" t="0" r="0" b="0"/>
            <wp:docPr id="1" name="image1.jpeg" descr=""/>
            <wp:cNvGraphicFramePr>
              <a:graphicFrameLocks noChangeAspect="1"/>
            </wp:cNvGraphicFramePr>
            <a:graphic>
              <a:graphicData uri="http://schemas.openxmlformats.org/drawingml/2006/picture">
                <pic:pic>
                  <pic:nvPicPr>
                    <pic:cNvPr id="2" name="image1.jpeg"/>
                    <pic:cNvPicPr/>
                  </pic:nvPicPr>
                  <pic:blipFill>
                    <a:blip r:embed="rId14" cstate="print"/>
                    <a:stretch>
                      <a:fillRect/>
                    </a:stretch>
                  </pic:blipFill>
                  <pic:spPr>
                    <a:xfrm>
                      <a:off x="0" y="0"/>
                      <a:ext cx="4248151" cy="2814637"/>
                    </a:xfrm>
                    <a:prstGeom prst="rect">
                      <a:avLst/>
                    </a:prstGeom>
                  </pic:spPr>
                </pic:pic>
              </a:graphicData>
            </a:graphic>
          </wp:inline>
        </w:drawing>
      </w:r>
      <w:r>
        <w:rPr>
          <w:sz w:val="20"/>
        </w:rPr>
      </w:r>
    </w:p>
    <w:p>
      <w:pPr>
        <w:pStyle w:val="BodyText"/>
        <w:rPr>
          <w:sz w:val="20"/>
        </w:rPr>
      </w:pPr>
    </w:p>
    <w:p>
      <w:pPr>
        <w:pStyle w:val="BodyText"/>
        <w:rPr>
          <w:sz w:val="20"/>
        </w:rPr>
      </w:pPr>
    </w:p>
    <w:p>
      <w:pPr>
        <w:pStyle w:val="BodyText"/>
        <w:spacing w:before="1"/>
        <w:rPr>
          <w:sz w:val="19"/>
        </w:rPr>
      </w:pPr>
    </w:p>
    <w:p>
      <w:pPr>
        <w:pStyle w:val="BodyText"/>
        <w:spacing w:line="491" w:lineRule="auto" w:before="105"/>
        <w:ind w:left="401" w:right="2197"/>
        <w:jc w:val="both"/>
      </w:pPr>
      <w:r>
        <w:rPr/>
        <w:t>Per la descrizione analitica delle voci sopra esposte si rimanda a quanto contenuto nella presente memoria, nonché al Piano e alla relazione alla situazione patrimoniale ed economica e alla descrizione del passivo concordatario allegate allo  stesso.</w:t>
      </w:r>
    </w:p>
    <w:p>
      <w:pPr>
        <w:pStyle w:val="BodyText"/>
        <w:spacing w:before="1"/>
        <w:ind w:left="476" w:right="2273"/>
        <w:jc w:val="center"/>
      </w:pPr>
      <w:r>
        <w:rPr/>
        <w:t>* * *</w:t>
      </w:r>
    </w:p>
    <w:p>
      <w:pPr>
        <w:pStyle w:val="BodyText"/>
        <w:spacing w:before="1"/>
        <w:rPr>
          <w:sz w:val="23"/>
        </w:rPr>
      </w:pPr>
    </w:p>
    <w:p>
      <w:pPr>
        <w:pStyle w:val="Heading2"/>
        <w:numPr>
          <w:ilvl w:val="1"/>
          <w:numId w:val="18"/>
        </w:numPr>
        <w:tabs>
          <w:tab w:pos="1067" w:val="left" w:leader="none"/>
          <w:tab w:pos="1068" w:val="left" w:leader="none"/>
        </w:tabs>
        <w:spacing w:line="240" w:lineRule="auto" w:before="0" w:after="0"/>
        <w:ind w:left="1067" w:right="0" w:hanging="666"/>
        <w:jc w:val="left"/>
      </w:pPr>
      <w:bookmarkStart w:name="_TOC_250011" w:id="41"/>
      <w:r>
        <w:rPr/>
        <w:t>Il Piano di</w:t>
      </w:r>
      <w:r>
        <w:rPr>
          <w:spacing w:val="52"/>
        </w:rPr>
        <w:t> </w:t>
      </w:r>
      <w:bookmarkEnd w:id="41"/>
      <w:r>
        <w:rPr/>
        <w:t>Ripagamento</w:t>
      </w:r>
    </w:p>
    <w:p>
      <w:pPr>
        <w:pStyle w:val="BodyText"/>
        <w:spacing w:before="8"/>
        <w:rPr>
          <w:b/>
          <w:sz w:val="13"/>
        </w:rPr>
      </w:pPr>
    </w:p>
    <w:p>
      <w:pPr>
        <w:pStyle w:val="BodyText"/>
        <w:spacing w:line="494" w:lineRule="auto" w:before="105"/>
        <w:ind w:left="401" w:right="2200"/>
      </w:pPr>
      <w:r>
        <w:rPr/>
        <w:t>Come anticipato e nel rispetto dell’ordine legale dei privilegi, la Società propone:</w:t>
      </w:r>
    </w:p>
    <w:p>
      <w:pPr>
        <w:pStyle w:val="ListParagraph"/>
        <w:numPr>
          <w:ilvl w:val="0"/>
          <w:numId w:val="33"/>
        </w:numPr>
        <w:tabs>
          <w:tab w:pos="1068" w:val="left" w:leader="none"/>
          <w:tab w:pos="1069" w:val="left" w:leader="none"/>
        </w:tabs>
        <w:spacing w:line="245" w:lineRule="exact" w:before="0" w:after="0"/>
        <w:ind w:left="1078" w:right="0" w:hanging="409"/>
        <w:jc w:val="left"/>
        <w:rPr>
          <w:sz w:val="22"/>
        </w:rPr>
      </w:pPr>
      <w:r>
        <w:rPr>
          <w:sz w:val="22"/>
        </w:rPr>
        <w:t>il pagamento integrale degli oneri di </w:t>
      </w:r>
      <w:r>
        <w:rPr>
          <w:spacing w:val="51"/>
          <w:sz w:val="22"/>
        </w:rPr>
        <w:t> </w:t>
      </w:r>
      <w:r>
        <w:rPr>
          <w:sz w:val="22"/>
        </w:rPr>
        <w:t>ristrutturazione;</w:t>
      </w:r>
    </w:p>
    <w:p>
      <w:pPr>
        <w:pStyle w:val="BodyText"/>
        <w:spacing w:before="1"/>
        <w:rPr>
          <w:sz w:val="23"/>
        </w:rPr>
      </w:pPr>
    </w:p>
    <w:p>
      <w:pPr>
        <w:pStyle w:val="ListParagraph"/>
        <w:numPr>
          <w:ilvl w:val="0"/>
          <w:numId w:val="33"/>
        </w:numPr>
        <w:tabs>
          <w:tab w:pos="1079" w:val="left" w:leader="none"/>
        </w:tabs>
        <w:spacing w:line="491" w:lineRule="auto" w:before="1" w:after="0"/>
        <w:ind w:left="1078" w:right="2194" w:hanging="409"/>
        <w:jc w:val="both"/>
        <w:rPr>
          <w:sz w:val="22"/>
        </w:rPr>
      </w:pPr>
      <w:r>
        <w:rPr>
          <w:sz w:val="22"/>
        </w:rPr>
        <w:t>il pagamento integrale, in base alla scadenza naturale degli stessi (cfr. piano di cassa marzo 2018 – luglio 2018), dei debiti previsti per il mantenimento del Ramo Biochemtex fino alla  cessione  del  medesimo a Versalis o altro soggetto che ne risulterà aggiudicatario all’esito dell’asta competitiva ex art. 163-bis l. </w:t>
      </w:r>
      <w:r>
        <w:rPr>
          <w:spacing w:val="43"/>
          <w:sz w:val="22"/>
        </w:rPr>
        <w:t> </w:t>
      </w:r>
      <w:r>
        <w:rPr>
          <w:sz w:val="22"/>
        </w:rPr>
        <w:t>fall.;</w:t>
      </w:r>
    </w:p>
    <w:p>
      <w:pPr>
        <w:spacing w:after="0" w:line="491" w:lineRule="auto"/>
        <w:jc w:val="both"/>
        <w:rPr>
          <w:sz w:val="22"/>
        </w:rPr>
        <w:sectPr>
          <w:pgSz w:w="12240" w:h="15840"/>
          <w:pgMar w:header="0" w:footer="790" w:top="1500" w:bottom="980" w:left="1720" w:right="1200"/>
        </w:sectPr>
      </w:pPr>
    </w:p>
    <w:p>
      <w:pPr>
        <w:pStyle w:val="ListParagraph"/>
        <w:numPr>
          <w:ilvl w:val="0"/>
          <w:numId w:val="33"/>
        </w:numPr>
        <w:tabs>
          <w:tab w:pos="1068" w:val="left" w:leader="none"/>
        </w:tabs>
        <w:spacing w:line="491" w:lineRule="auto" w:before="105" w:after="0"/>
        <w:ind w:left="1067" w:right="2197" w:hanging="399"/>
        <w:jc w:val="both"/>
        <w:rPr>
          <w:sz w:val="22"/>
        </w:rPr>
      </w:pPr>
      <w:r>
        <w:rPr>
          <w:w w:val="105"/>
          <w:sz w:val="22"/>
        </w:rPr>
        <w:t>il pagamento integrale dei crediti di lavoro e dei relativi interessi, in parte mediante previsione di accollo da parte dell’aggiudicatario del Ramo Biochemtex e, in altra parte, direttamente, </w:t>
      </w:r>
      <w:r>
        <w:rPr>
          <w:w w:val="105"/>
          <w:sz w:val="22"/>
          <w:u w:val="single"/>
        </w:rPr>
        <w:t>entro 3 (tre) mesi </w:t>
      </w:r>
      <w:r>
        <w:rPr>
          <w:w w:val="105"/>
          <w:sz w:val="22"/>
        </w:rPr>
        <w:t>dal Decreto di Omologazione, salva autorizzazione a riparti anticipati;</w:t>
      </w:r>
    </w:p>
    <w:p>
      <w:pPr>
        <w:pStyle w:val="ListParagraph"/>
        <w:numPr>
          <w:ilvl w:val="0"/>
          <w:numId w:val="33"/>
        </w:numPr>
        <w:tabs>
          <w:tab w:pos="1068" w:val="left" w:leader="none"/>
        </w:tabs>
        <w:spacing w:line="491" w:lineRule="auto" w:before="1" w:after="0"/>
        <w:ind w:left="1067" w:right="2196" w:hanging="399"/>
        <w:jc w:val="both"/>
        <w:rPr>
          <w:sz w:val="22"/>
        </w:rPr>
      </w:pPr>
      <w:r>
        <w:rPr>
          <w:w w:val="105"/>
          <w:sz w:val="22"/>
        </w:rPr>
        <w:t>il</w:t>
      </w:r>
      <w:r>
        <w:rPr>
          <w:spacing w:val="-13"/>
          <w:w w:val="105"/>
          <w:sz w:val="22"/>
        </w:rPr>
        <w:t> </w:t>
      </w:r>
      <w:r>
        <w:rPr>
          <w:w w:val="105"/>
          <w:sz w:val="22"/>
        </w:rPr>
        <w:t>pagamento</w:t>
      </w:r>
      <w:r>
        <w:rPr>
          <w:spacing w:val="-12"/>
          <w:w w:val="105"/>
          <w:sz w:val="22"/>
        </w:rPr>
        <w:t> </w:t>
      </w:r>
      <w:r>
        <w:rPr>
          <w:w w:val="105"/>
          <w:sz w:val="22"/>
        </w:rPr>
        <w:t>integrale</w:t>
      </w:r>
      <w:r>
        <w:rPr>
          <w:spacing w:val="-13"/>
          <w:w w:val="105"/>
          <w:sz w:val="22"/>
        </w:rPr>
        <w:t> </w:t>
      </w:r>
      <w:r>
        <w:rPr>
          <w:w w:val="105"/>
          <w:sz w:val="22"/>
        </w:rPr>
        <w:t>dei</w:t>
      </w:r>
      <w:r>
        <w:rPr>
          <w:spacing w:val="-13"/>
          <w:w w:val="105"/>
          <w:sz w:val="22"/>
        </w:rPr>
        <w:t> </w:t>
      </w:r>
      <w:r>
        <w:rPr>
          <w:w w:val="105"/>
          <w:sz w:val="22"/>
        </w:rPr>
        <w:t>crediti</w:t>
      </w:r>
      <w:r>
        <w:rPr>
          <w:spacing w:val="-14"/>
          <w:w w:val="105"/>
          <w:sz w:val="22"/>
        </w:rPr>
        <w:t> </w:t>
      </w:r>
      <w:r>
        <w:rPr>
          <w:w w:val="105"/>
          <w:sz w:val="22"/>
        </w:rPr>
        <w:t>privilegiati</w:t>
      </w:r>
      <w:r>
        <w:rPr>
          <w:spacing w:val="-13"/>
          <w:w w:val="105"/>
          <w:sz w:val="22"/>
        </w:rPr>
        <w:t> </w:t>
      </w:r>
      <w:r>
        <w:rPr>
          <w:w w:val="105"/>
          <w:sz w:val="22"/>
        </w:rPr>
        <w:t>generali,</w:t>
      </w:r>
      <w:r>
        <w:rPr>
          <w:spacing w:val="-13"/>
          <w:w w:val="105"/>
          <w:sz w:val="22"/>
        </w:rPr>
        <w:t> </w:t>
      </w:r>
      <w:r>
        <w:rPr>
          <w:w w:val="105"/>
          <w:sz w:val="22"/>
        </w:rPr>
        <w:t>diversi</w:t>
      </w:r>
      <w:r>
        <w:rPr>
          <w:spacing w:val="-13"/>
          <w:w w:val="105"/>
          <w:sz w:val="22"/>
        </w:rPr>
        <w:t> </w:t>
      </w:r>
      <w:r>
        <w:rPr>
          <w:w w:val="105"/>
          <w:sz w:val="22"/>
        </w:rPr>
        <w:t>da</w:t>
      </w:r>
      <w:r>
        <w:rPr>
          <w:spacing w:val="-14"/>
          <w:w w:val="105"/>
          <w:sz w:val="22"/>
        </w:rPr>
        <w:t> </w:t>
      </w:r>
      <w:r>
        <w:rPr>
          <w:w w:val="105"/>
          <w:sz w:val="22"/>
        </w:rPr>
        <w:t>quelli di cui al precedente punto c. ed anche di natura erariale e previdenziale,</w:t>
      </w:r>
      <w:r>
        <w:rPr>
          <w:spacing w:val="-10"/>
          <w:w w:val="105"/>
          <w:sz w:val="22"/>
        </w:rPr>
        <w:t> </w:t>
      </w:r>
      <w:r>
        <w:rPr>
          <w:w w:val="105"/>
          <w:sz w:val="22"/>
        </w:rPr>
        <w:t>e</w:t>
      </w:r>
      <w:r>
        <w:rPr>
          <w:spacing w:val="-10"/>
          <w:w w:val="105"/>
          <w:sz w:val="22"/>
        </w:rPr>
        <w:t> </w:t>
      </w:r>
      <w:r>
        <w:rPr>
          <w:w w:val="105"/>
          <w:sz w:val="22"/>
        </w:rPr>
        <w:t>dei</w:t>
      </w:r>
      <w:r>
        <w:rPr>
          <w:spacing w:val="-11"/>
          <w:w w:val="105"/>
          <w:sz w:val="22"/>
        </w:rPr>
        <w:t> </w:t>
      </w:r>
      <w:r>
        <w:rPr>
          <w:w w:val="105"/>
          <w:sz w:val="22"/>
        </w:rPr>
        <w:t>relativi</w:t>
      </w:r>
      <w:r>
        <w:rPr>
          <w:spacing w:val="-10"/>
          <w:w w:val="105"/>
          <w:sz w:val="22"/>
        </w:rPr>
        <w:t> </w:t>
      </w:r>
      <w:r>
        <w:rPr>
          <w:w w:val="105"/>
          <w:sz w:val="22"/>
        </w:rPr>
        <w:t>interessi,</w:t>
      </w:r>
      <w:r>
        <w:rPr>
          <w:spacing w:val="-10"/>
          <w:w w:val="105"/>
          <w:sz w:val="22"/>
        </w:rPr>
        <w:t> </w:t>
      </w:r>
      <w:r>
        <w:rPr>
          <w:w w:val="105"/>
          <w:sz w:val="22"/>
          <w:u w:val="single"/>
        </w:rPr>
        <w:t>entro</w:t>
      </w:r>
      <w:r>
        <w:rPr>
          <w:spacing w:val="-12"/>
          <w:w w:val="105"/>
          <w:sz w:val="22"/>
          <w:u w:val="single"/>
        </w:rPr>
        <w:t> </w:t>
      </w:r>
      <w:r>
        <w:rPr>
          <w:w w:val="105"/>
          <w:sz w:val="22"/>
          <w:u w:val="single"/>
        </w:rPr>
        <w:t>3</w:t>
      </w:r>
      <w:r>
        <w:rPr>
          <w:spacing w:val="-10"/>
          <w:w w:val="105"/>
          <w:sz w:val="22"/>
          <w:u w:val="single"/>
        </w:rPr>
        <w:t> </w:t>
      </w:r>
      <w:r>
        <w:rPr>
          <w:w w:val="105"/>
          <w:sz w:val="22"/>
          <w:u w:val="single"/>
        </w:rPr>
        <w:t>(tre)</w:t>
      </w:r>
      <w:r>
        <w:rPr>
          <w:spacing w:val="-11"/>
          <w:w w:val="105"/>
          <w:sz w:val="22"/>
          <w:u w:val="single"/>
        </w:rPr>
        <w:t> </w:t>
      </w:r>
      <w:r>
        <w:rPr>
          <w:w w:val="105"/>
          <w:sz w:val="22"/>
          <w:u w:val="single"/>
        </w:rPr>
        <w:t>mesi</w:t>
      </w:r>
      <w:r>
        <w:rPr>
          <w:spacing w:val="-10"/>
          <w:w w:val="105"/>
          <w:sz w:val="22"/>
          <w:u w:val="single"/>
        </w:rPr>
        <w:t> </w:t>
      </w:r>
      <w:r>
        <w:rPr>
          <w:w w:val="105"/>
          <w:sz w:val="22"/>
        </w:rPr>
        <w:t>dal</w:t>
      </w:r>
      <w:r>
        <w:rPr>
          <w:spacing w:val="-10"/>
          <w:w w:val="105"/>
          <w:sz w:val="22"/>
        </w:rPr>
        <w:t> </w:t>
      </w:r>
      <w:r>
        <w:rPr>
          <w:w w:val="105"/>
          <w:sz w:val="22"/>
        </w:rPr>
        <w:t>Decreto</w:t>
      </w:r>
      <w:r>
        <w:rPr>
          <w:spacing w:val="-10"/>
          <w:w w:val="105"/>
          <w:sz w:val="22"/>
        </w:rPr>
        <w:t> </w:t>
      </w:r>
      <w:r>
        <w:rPr>
          <w:w w:val="105"/>
          <w:sz w:val="22"/>
        </w:rPr>
        <w:t>di Omologazione,</w:t>
      </w:r>
      <w:r>
        <w:rPr>
          <w:spacing w:val="-30"/>
          <w:w w:val="105"/>
          <w:sz w:val="22"/>
        </w:rPr>
        <w:t> </w:t>
      </w:r>
      <w:r>
        <w:rPr>
          <w:w w:val="105"/>
          <w:sz w:val="22"/>
        </w:rPr>
        <w:t>salva</w:t>
      </w:r>
      <w:r>
        <w:rPr>
          <w:spacing w:val="-31"/>
          <w:w w:val="105"/>
          <w:sz w:val="22"/>
        </w:rPr>
        <w:t> </w:t>
      </w:r>
      <w:r>
        <w:rPr>
          <w:w w:val="105"/>
          <w:sz w:val="22"/>
        </w:rPr>
        <w:t>autorizzazione</w:t>
      </w:r>
      <w:r>
        <w:rPr>
          <w:spacing w:val="-30"/>
          <w:w w:val="105"/>
          <w:sz w:val="22"/>
        </w:rPr>
        <w:t> </w:t>
      </w:r>
      <w:r>
        <w:rPr>
          <w:w w:val="105"/>
          <w:sz w:val="22"/>
        </w:rPr>
        <w:t>a</w:t>
      </w:r>
      <w:r>
        <w:rPr>
          <w:spacing w:val="-31"/>
          <w:w w:val="105"/>
          <w:sz w:val="22"/>
        </w:rPr>
        <w:t> </w:t>
      </w:r>
      <w:r>
        <w:rPr>
          <w:w w:val="105"/>
          <w:sz w:val="22"/>
        </w:rPr>
        <w:t>riparti</w:t>
      </w:r>
      <w:r>
        <w:rPr>
          <w:spacing w:val="-30"/>
          <w:w w:val="105"/>
          <w:sz w:val="22"/>
        </w:rPr>
        <w:t> </w:t>
      </w:r>
      <w:r>
        <w:rPr>
          <w:w w:val="105"/>
          <w:sz w:val="22"/>
        </w:rPr>
        <w:t>anticipati;</w:t>
      </w:r>
    </w:p>
    <w:p>
      <w:pPr>
        <w:pStyle w:val="ListParagraph"/>
        <w:numPr>
          <w:ilvl w:val="0"/>
          <w:numId w:val="33"/>
        </w:numPr>
        <w:tabs>
          <w:tab w:pos="1068" w:val="left" w:leader="none"/>
        </w:tabs>
        <w:spacing w:line="494" w:lineRule="auto" w:before="0" w:after="0"/>
        <w:ind w:left="1067" w:right="2196" w:hanging="399"/>
        <w:jc w:val="both"/>
        <w:rPr>
          <w:sz w:val="22"/>
        </w:rPr>
      </w:pPr>
      <w:r>
        <w:rPr>
          <w:w w:val="105"/>
          <w:sz w:val="22"/>
        </w:rPr>
        <w:t>la suddivisione degli altri creditori in 3 (tre) classi, di cui due con diritto di</w:t>
      </w:r>
      <w:r>
        <w:rPr>
          <w:spacing w:val="-33"/>
          <w:w w:val="105"/>
          <w:sz w:val="22"/>
        </w:rPr>
        <w:t> </w:t>
      </w:r>
      <w:r>
        <w:rPr>
          <w:w w:val="105"/>
          <w:sz w:val="22"/>
        </w:rPr>
        <w:t>voto:</w:t>
      </w:r>
    </w:p>
    <w:p>
      <w:pPr>
        <w:pStyle w:val="ListParagraph"/>
        <w:numPr>
          <w:ilvl w:val="1"/>
          <w:numId w:val="33"/>
        </w:numPr>
        <w:tabs>
          <w:tab w:pos="1467" w:val="left" w:leader="none"/>
          <w:tab w:pos="1468" w:val="left" w:leader="none"/>
        </w:tabs>
        <w:spacing w:line="276" w:lineRule="exact" w:before="0" w:after="0"/>
        <w:ind w:left="1467" w:right="0" w:hanging="400"/>
        <w:jc w:val="left"/>
        <w:rPr>
          <w:sz w:val="22"/>
        </w:rPr>
      </w:pPr>
      <w:r>
        <w:rPr>
          <w:b/>
          <w:w w:val="105"/>
          <w:sz w:val="22"/>
          <w:u w:val="single"/>
        </w:rPr>
        <w:t>Classe 1, con diritto di voto</w:t>
      </w:r>
      <w:r>
        <w:rPr>
          <w:w w:val="105"/>
          <w:sz w:val="22"/>
        </w:rPr>
        <w:t>, composta dai crediti</w:t>
      </w:r>
      <w:r>
        <w:rPr>
          <w:spacing w:val="-9"/>
          <w:w w:val="105"/>
          <w:sz w:val="22"/>
        </w:rPr>
        <w:t> </w:t>
      </w:r>
      <w:r>
        <w:rPr>
          <w:w w:val="105"/>
          <w:sz w:val="22"/>
        </w:rPr>
        <w:t>chirografari</w:t>
      </w:r>
    </w:p>
    <w:p>
      <w:pPr>
        <w:pStyle w:val="BodyText"/>
        <w:rPr>
          <w:sz w:val="14"/>
        </w:rPr>
      </w:pPr>
    </w:p>
    <w:p>
      <w:pPr>
        <w:pStyle w:val="BodyText"/>
        <w:spacing w:line="491" w:lineRule="auto" w:before="105"/>
        <w:ind w:left="1467" w:right="2196"/>
        <w:jc w:val="both"/>
      </w:pPr>
      <w:r>
        <w:rPr>
          <w:w w:val="105"/>
        </w:rPr>
        <w:t>diversi</w:t>
      </w:r>
      <w:r>
        <w:rPr>
          <w:spacing w:val="-9"/>
          <w:w w:val="105"/>
        </w:rPr>
        <w:t> </w:t>
      </w:r>
      <w:r>
        <w:rPr>
          <w:w w:val="105"/>
        </w:rPr>
        <w:t>da</w:t>
      </w:r>
      <w:r>
        <w:rPr>
          <w:spacing w:val="-9"/>
          <w:w w:val="105"/>
        </w:rPr>
        <w:t> </w:t>
      </w:r>
      <w:r>
        <w:rPr>
          <w:w w:val="105"/>
        </w:rPr>
        <w:t>quelli</w:t>
      </w:r>
      <w:r>
        <w:rPr>
          <w:spacing w:val="-9"/>
          <w:w w:val="105"/>
        </w:rPr>
        <w:t> </w:t>
      </w:r>
      <w:r>
        <w:rPr>
          <w:w w:val="105"/>
        </w:rPr>
        <w:t>di</w:t>
      </w:r>
      <w:r>
        <w:rPr>
          <w:spacing w:val="-7"/>
          <w:w w:val="105"/>
        </w:rPr>
        <w:t> </w:t>
      </w:r>
      <w:r>
        <w:rPr>
          <w:w w:val="105"/>
        </w:rPr>
        <w:t>cui</w:t>
      </w:r>
      <w:r>
        <w:rPr>
          <w:spacing w:val="-9"/>
          <w:w w:val="105"/>
        </w:rPr>
        <w:t> </w:t>
      </w:r>
      <w:r>
        <w:rPr>
          <w:w w:val="105"/>
        </w:rPr>
        <w:t>alla</w:t>
      </w:r>
      <w:r>
        <w:rPr>
          <w:spacing w:val="-10"/>
          <w:w w:val="105"/>
        </w:rPr>
        <w:t> </w:t>
      </w:r>
      <w:r>
        <w:rPr>
          <w:w w:val="105"/>
        </w:rPr>
        <w:t>classe</w:t>
      </w:r>
      <w:r>
        <w:rPr>
          <w:spacing w:val="-9"/>
          <w:w w:val="105"/>
        </w:rPr>
        <w:t> </w:t>
      </w:r>
      <w:r>
        <w:rPr>
          <w:w w:val="105"/>
        </w:rPr>
        <w:t>2</w:t>
      </w:r>
      <w:r>
        <w:rPr>
          <w:spacing w:val="-9"/>
          <w:w w:val="105"/>
        </w:rPr>
        <w:t> </w:t>
      </w:r>
      <w:r>
        <w:rPr>
          <w:w w:val="105"/>
        </w:rPr>
        <w:t>e</w:t>
      </w:r>
      <w:r>
        <w:rPr>
          <w:spacing w:val="-8"/>
          <w:w w:val="105"/>
        </w:rPr>
        <w:t> </w:t>
      </w:r>
      <w:r>
        <w:rPr>
          <w:w w:val="105"/>
        </w:rPr>
        <w:t>alla</w:t>
      </w:r>
      <w:r>
        <w:rPr>
          <w:spacing w:val="-9"/>
          <w:w w:val="105"/>
        </w:rPr>
        <w:t> </w:t>
      </w:r>
      <w:r>
        <w:rPr>
          <w:w w:val="105"/>
        </w:rPr>
        <w:t>classe</w:t>
      </w:r>
      <w:r>
        <w:rPr>
          <w:spacing w:val="-9"/>
          <w:w w:val="105"/>
        </w:rPr>
        <w:t> </w:t>
      </w:r>
      <w:r>
        <w:rPr>
          <w:w w:val="105"/>
        </w:rPr>
        <w:t>3,</w:t>
      </w:r>
      <w:r>
        <w:rPr>
          <w:spacing w:val="-9"/>
          <w:w w:val="105"/>
        </w:rPr>
        <w:t> </w:t>
      </w:r>
      <w:r>
        <w:rPr>
          <w:w w:val="105"/>
        </w:rPr>
        <w:t>con</w:t>
      </w:r>
      <w:r>
        <w:rPr>
          <w:spacing w:val="-10"/>
          <w:w w:val="105"/>
        </w:rPr>
        <w:t> </w:t>
      </w:r>
      <w:r>
        <w:rPr>
          <w:w w:val="105"/>
        </w:rPr>
        <w:t>pagamento in una percentuale assicurata e garantita pari al 20% del rispettivo credito, da corrispondersi nella misura del relativo 50% </w:t>
      </w:r>
      <w:r>
        <w:rPr>
          <w:w w:val="105"/>
          <w:u w:val="single"/>
        </w:rPr>
        <w:t>entro 3 (tre) mesi </w:t>
      </w:r>
      <w:r>
        <w:rPr>
          <w:w w:val="105"/>
        </w:rPr>
        <w:t>dal Decreto di Omologazione e, quanto all’ulteriore  25%  </w:t>
      </w:r>
      <w:r>
        <w:rPr>
          <w:w w:val="105"/>
          <w:u w:val="single"/>
        </w:rPr>
        <w:t>entro  15  (quindici)  mesi  </w:t>
      </w:r>
      <w:r>
        <w:rPr>
          <w:w w:val="105"/>
        </w:rPr>
        <w:t>dalla  Data      </w:t>
      </w:r>
      <w:r>
        <w:rPr>
          <w:spacing w:val="32"/>
          <w:w w:val="105"/>
        </w:rPr>
        <w:t> </w:t>
      </w:r>
      <w:r>
        <w:rPr>
          <w:w w:val="105"/>
        </w:rPr>
        <w:t>di</w:t>
      </w:r>
    </w:p>
    <w:p>
      <w:pPr>
        <w:pStyle w:val="BodyText"/>
        <w:spacing w:line="491" w:lineRule="auto" w:before="1"/>
        <w:ind w:left="1467" w:right="2195"/>
        <w:jc w:val="both"/>
      </w:pPr>
      <w:r>
        <w:rPr>
          <w:w w:val="105"/>
        </w:rPr>
        <w:t>Omologazione e, infine, l’ulteriore 25% </w:t>
      </w:r>
      <w:r>
        <w:rPr>
          <w:w w:val="105"/>
          <w:u w:val="single"/>
        </w:rPr>
        <w:t>entro 35 (trentacinque) mesi </w:t>
      </w:r>
      <w:r>
        <w:rPr>
          <w:w w:val="105"/>
        </w:rPr>
        <w:t>dalla Data di Omologazione, salva autorizzazione a riparti anticipati;</w:t>
      </w:r>
    </w:p>
    <w:p>
      <w:pPr>
        <w:pStyle w:val="ListParagraph"/>
        <w:numPr>
          <w:ilvl w:val="1"/>
          <w:numId w:val="33"/>
        </w:numPr>
        <w:tabs>
          <w:tab w:pos="1467" w:val="left" w:leader="none"/>
          <w:tab w:pos="1468" w:val="left" w:leader="none"/>
        </w:tabs>
        <w:spacing w:line="240" w:lineRule="auto" w:before="1" w:after="0"/>
        <w:ind w:left="1467" w:right="0" w:hanging="400"/>
        <w:jc w:val="left"/>
        <w:rPr>
          <w:sz w:val="22"/>
        </w:rPr>
      </w:pPr>
      <w:r>
        <w:rPr>
          <w:b/>
          <w:w w:val="105"/>
          <w:sz w:val="22"/>
          <w:u w:val="single"/>
        </w:rPr>
        <w:t>Classe   2,   con   diritto   di   voto</w:t>
      </w:r>
      <w:r>
        <w:rPr>
          <w:w w:val="105"/>
          <w:sz w:val="22"/>
        </w:rPr>
        <w:t>,   composta   dal</w:t>
      </w:r>
      <w:r>
        <w:rPr>
          <w:spacing w:val="15"/>
          <w:w w:val="105"/>
          <w:sz w:val="22"/>
        </w:rPr>
        <w:t> </w:t>
      </w:r>
      <w:r>
        <w:rPr>
          <w:w w:val="105"/>
          <w:sz w:val="22"/>
        </w:rPr>
        <w:t>creditore</w:t>
      </w:r>
    </w:p>
    <w:p>
      <w:pPr>
        <w:pStyle w:val="BodyText"/>
        <w:spacing w:before="10"/>
        <w:rPr>
          <w:sz w:val="13"/>
        </w:rPr>
      </w:pPr>
    </w:p>
    <w:p>
      <w:pPr>
        <w:pStyle w:val="BodyText"/>
        <w:spacing w:line="491" w:lineRule="auto" w:before="105"/>
        <w:ind w:left="1467" w:right="2196"/>
        <w:jc w:val="both"/>
      </w:pPr>
      <w:r>
        <w:rPr>
          <w:w w:val="105"/>
        </w:rPr>
        <w:t>postergato</w:t>
      </w:r>
      <w:r>
        <w:rPr>
          <w:spacing w:val="-18"/>
          <w:w w:val="105"/>
        </w:rPr>
        <w:t> </w:t>
      </w:r>
      <w:r>
        <w:rPr>
          <w:w w:val="105"/>
        </w:rPr>
        <w:t>volontariamente</w:t>
      </w:r>
      <w:r>
        <w:rPr>
          <w:spacing w:val="-17"/>
          <w:w w:val="105"/>
        </w:rPr>
        <w:t> </w:t>
      </w:r>
      <w:r>
        <w:rPr>
          <w:w w:val="105"/>
        </w:rPr>
        <w:t>Novozymes</w:t>
      </w:r>
      <w:r>
        <w:rPr>
          <w:spacing w:val="-18"/>
          <w:w w:val="105"/>
        </w:rPr>
        <w:t> </w:t>
      </w:r>
      <w:r>
        <w:rPr>
          <w:w w:val="105"/>
        </w:rPr>
        <w:t>A/S,</w:t>
      </w:r>
      <w:r>
        <w:rPr>
          <w:spacing w:val="-18"/>
          <w:w w:val="105"/>
        </w:rPr>
        <w:t> </w:t>
      </w:r>
      <w:r>
        <w:rPr>
          <w:w w:val="105"/>
        </w:rPr>
        <w:t>con</w:t>
      </w:r>
      <w:r>
        <w:rPr>
          <w:spacing w:val="-18"/>
          <w:w w:val="105"/>
        </w:rPr>
        <w:t> </w:t>
      </w:r>
      <w:r>
        <w:rPr>
          <w:w w:val="105"/>
        </w:rPr>
        <w:t>pagamento</w:t>
      </w:r>
      <w:r>
        <w:rPr>
          <w:spacing w:val="-17"/>
          <w:w w:val="105"/>
        </w:rPr>
        <w:t> </w:t>
      </w:r>
      <w:r>
        <w:rPr>
          <w:w w:val="105"/>
        </w:rPr>
        <w:t>in una percentuale minima, non assicurata, pari al 17,92 % del rispettivo credito, da corrispondersi, nei termini e modalità  </w:t>
      </w:r>
      <w:r>
        <w:rPr>
          <w:spacing w:val="35"/>
          <w:w w:val="105"/>
        </w:rPr>
        <w:t> </w:t>
      </w:r>
      <w:r>
        <w:rPr>
          <w:w w:val="105"/>
        </w:rPr>
        <w:t>di</w:t>
      </w:r>
    </w:p>
    <w:p>
      <w:pPr>
        <w:spacing w:after="0" w:line="491" w:lineRule="auto"/>
        <w:jc w:val="both"/>
        <w:sectPr>
          <w:pgSz w:w="12240" w:h="15840"/>
          <w:pgMar w:header="0" w:footer="790" w:top="1500" w:bottom="980" w:left="1720" w:right="1200"/>
        </w:sectPr>
      </w:pPr>
    </w:p>
    <w:p>
      <w:pPr>
        <w:pStyle w:val="BodyText"/>
        <w:spacing w:line="491" w:lineRule="auto" w:before="105"/>
        <w:ind w:left="1467" w:right="2198"/>
        <w:jc w:val="both"/>
      </w:pPr>
      <w:r>
        <w:rPr>
          <w:w w:val="105"/>
        </w:rPr>
        <w:t>cui all’impegno di postergazione ed entro il 31 dicembre 2024 (termine ultimo per il pagamento dell’eventuale Earn Out Versalis);</w:t>
      </w:r>
    </w:p>
    <w:p>
      <w:pPr>
        <w:pStyle w:val="ListParagraph"/>
        <w:numPr>
          <w:ilvl w:val="1"/>
          <w:numId w:val="33"/>
        </w:numPr>
        <w:tabs>
          <w:tab w:pos="1467" w:val="left" w:leader="none"/>
          <w:tab w:pos="1468" w:val="left" w:leader="none"/>
        </w:tabs>
        <w:spacing w:line="456" w:lineRule="auto" w:before="0" w:after="0"/>
        <w:ind w:left="1467" w:right="2198" w:hanging="400"/>
        <w:jc w:val="left"/>
        <w:rPr>
          <w:sz w:val="22"/>
        </w:rPr>
      </w:pPr>
      <w:r>
        <w:rPr>
          <w:b/>
          <w:sz w:val="22"/>
          <w:u w:val="single"/>
        </w:rPr>
        <w:t>Classe 3, senza diritto di voto </w:t>
      </w:r>
      <w:r>
        <w:rPr>
          <w:b/>
          <w:i/>
          <w:sz w:val="24"/>
          <w:u w:val="single"/>
        </w:rPr>
        <w:t>ex lege</w:t>
      </w:r>
      <w:r>
        <w:rPr>
          <w:sz w:val="22"/>
        </w:rPr>
        <w:t>, composta dai creditori finanziari </w:t>
      </w:r>
      <w:r>
        <w:rPr>
          <w:i/>
          <w:sz w:val="22"/>
        </w:rPr>
        <w:t>ab origine </w:t>
      </w:r>
      <w:r>
        <w:rPr>
          <w:sz w:val="22"/>
        </w:rPr>
        <w:t>(i.e. M&amp;G Finanziaria e </w:t>
      </w:r>
      <w:r>
        <w:rPr>
          <w:spacing w:val="35"/>
          <w:sz w:val="22"/>
        </w:rPr>
        <w:t> </w:t>
      </w:r>
      <w:r>
        <w:rPr>
          <w:sz w:val="22"/>
        </w:rPr>
        <w:t>M&amp;G).</w:t>
      </w:r>
    </w:p>
    <w:p>
      <w:pPr>
        <w:pStyle w:val="BodyText"/>
        <w:spacing w:line="491" w:lineRule="auto" w:before="38"/>
        <w:ind w:left="400" w:right="2195"/>
        <w:jc w:val="both"/>
      </w:pPr>
      <w:r>
        <w:rPr>
          <w:w w:val="105"/>
        </w:rPr>
        <w:t>Si precisa, in ogni caso, che l’indicazione dei termini di pagamento deve intendersi meramente esemplificativa, sull’assunto che l’omologa del concordato preventivo intervenga entro il 31 gennaio 2019, con la conseguenza che la proposta di ripagamento era e resta con termine non fisso, secondo quanto sopra indicato, dipendente dalla data in cui effettivamente sarà divenuto definitivo, ai sensi dell’art. 183, il decreto di omologazione del Piano e della Proposta.</w:t>
      </w:r>
    </w:p>
    <w:p>
      <w:pPr>
        <w:pStyle w:val="BodyText"/>
        <w:spacing w:line="491" w:lineRule="auto" w:before="1"/>
        <w:ind w:left="400" w:right="2196"/>
        <w:jc w:val="both"/>
      </w:pPr>
      <w:r>
        <w:rPr>
          <w:w w:val="105"/>
        </w:rPr>
        <w:t>Si</w:t>
      </w:r>
      <w:r>
        <w:rPr>
          <w:spacing w:val="-12"/>
          <w:w w:val="105"/>
        </w:rPr>
        <w:t> </w:t>
      </w:r>
      <w:r>
        <w:rPr>
          <w:w w:val="105"/>
        </w:rPr>
        <w:t>ritiene</w:t>
      </w:r>
      <w:r>
        <w:rPr>
          <w:spacing w:val="-14"/>
          <w:w w:val="105"/>
        </w:rPr>
        <w:t> </w:t>
      </w:r>
      <w:r>
        <w:rPr>
          <w:w w:val="105"/>
        </w:rPr>
        <w:t>utile</w:t>
      </w:r>
      <w:r>
        <w:rPr>
          <w:spacing w:val="-13"/>
          <w:w w:val="105"/>
        </w:rPr>
        <w:t> </w:t>
      </w:r>
      <w:r>
        <w:rPr>
          <w:w w:val="105"/>
        </w:rPr>
        <w:t>evidenziare</w:t>
      </w:r>
      <w:r>
        <w:rPr>
          <w:spacing w:val="-13"/>
          <w:w w:val="105"/>
        </w:rPr>
        <w:t> </w:t>
      </w:r>
      <w:r>
        <w:rPr>
          <w:w w:val="105"/>
        </w:rPr>
        <w:t>che</w:t>
      </w:r>
      <w:r>
        <w:rPr>
          <w:spacing w:val="-14"/>
          <w:w w:val="105"/>
        </w:rPr>
        <w:t> </w:t>
      </w:r>
      <w:r>
        <w:rPr>
          <w:w w:val="105"/>
        </w:rPr>
        <w:t>qualora</w:t>
      </w:r>
      <w:r>
        <w:rPr>
          <w:spacing w:val="-13"/>
          <w:w w:val="105"/>
        </w:rPr>
        <w:t> </w:t>
      </w:r>
      <w:r>
        <w:rPr>
          <w:w w:val="105"/>
        </w:rPr>
        <w:t>dovessero</w:t>
      </w:r>
      <w:r>
        <w:rPr>
          <w:spacing w:val="-13"/>
          <w:w w:val="105"/>
        </w:rPr>
        <w:t> </w:t>
      </w:r>
      <w:r>
        <w:rPr>
          <w:w w:val="105"/>
        </w:rPr>
        <w:t>venir</w:t>
      </w:r>
      <w:r>
        <w:rPr>
          <w:spacing w:val="-14"/>
          <w:w w:val="105"/>
        </w:rPr>
        <w:t> </w:t>
      </w:r>
      <w:r>
        <w:rPr>
          <w:w w:val="105"/>
        </w:rPr>
        <w:t>meno</w:t>
      </w:r>
      <w:r>
        <w:rPr>
          <w:spacing w:val="-13"/>
          <w:w w:val="105"/>
        </w:rPr>
        <w:t> </w:t>
      </w:r>
      <w:r>
        <w:rPr>
          <w:w w:val="105"/>
        </w:rPr>
        <w:t>le</w:t>
      </w:r>
      <w:r>
        <w:rPr>
          <w:spacing w:val="-14"/>
          <w:w w:val="105"/>
        </w:rPr>
        <w:t> </w:t>
      </w:r>
      <w:r>
        <w:rPr>
          <w:w w:val="105"/>
        </w:rPr>
        <w:t>ragioni</w:t>
      </w:r>
      <w:r>
        <w:rPr>
          <w:spacing w:val="-13"/>
          <w:w w:val="105"/>
        </w:rPr>
        <w:t> </w:t>
      </w:r>
      <w:r>
        <w:rPr>
          <w:w w:val="105"/>
        </w:rPr>
        <w:t>poste a</w:t>
      </w:r>
      <w:r>
        <w:rPr>
          <w:spacing w:val="-14"/>
          <w:w w:val="105"/>
        </w:rPr>
        <w:t> </w:t>
      </w:r>
      <w:r>
        <w:rPr>
          <w:w w:val="105"/>
        </w:rPr>
        <w:t>base</w:t>
      </w:r>
      <w:r>
        <w:rPr>
          <w:spacing w:val="-13"/>
          <w:w w:val="105"/>
        </w:rPr>
        <w:t> </w:t>
      </w:r>
      <w:r>
        <w:rPr>
          <w:w w:val="105"/>
        </w:rPr>
        <w:t>dell’iscrizione</w:t>
      </w:r>
      <w:r>
        <w:rPr>
          <w:spacing w:val="-12"/>
          <w:w w:val="105"/>
        </w:rPr>
        <w:t> </w:t>
      </w:r>
      <w:r>
        <w:rPr>
          <w:w w:val="105"/>
        </w:rPr>
        <w:t>dei</w:t>
      </w:r>
      <w:r>
        <w:rPr>
          <w:spacing w:val="-13"/>
          <w:w w:val="105"/>
        </w:rPr>
        <w:t> </w:t>
      </w:r>
      <w:r>
        <w:rPr>
          <w:w w:val="105"/>
        </w:rPr>
        <w:t>fondi</w:t>
      </w:r>
      <w:r>
        <w:rPr>
          <w:spacing w:val="-14"/>
          <w:w w:val="105"/>
        </w:rPr>
        <w:t> </w:t>
      </w:r>
      <w:r>
        <w:rPr>
          <w:w w:val="105"/>
        </w:rPr>
        <w:t>e</w:t>
      </w:r>
      <w:r>
        <w:rPr>
          <w:spacing w:val="-13"/>
          <w:w w:val="105"/>
        </w:rPr>
        <w:t> </w:t>
      </w:r>
      <w:r>
        <w:rPr>
          <w:w w:val="105"/>
        </w:rPr>
        <w:t>degli</w:t>
      </w:r>
      <w:r>
        <w:rPr>
          <w:spacing w:val="-14"/>
          <w:w w:val="105"/>
        </w:rPr>
        <w:t> </w:t>
      </w:r>
      <w:r>
        <w:rPr>
          <w:w w:val="105"/>
        </w:rPr>
        <w:t>accantonamenti</w:t>
      </w:r>
      <w:r>
        <w:rPr>
          <w:spacing w:val="-12"/>
          <w:w w:val="105"/>
        </w:rPr>
        <w:t> </w:t>
      </w:r>
      <w:r>
        <w:rPr>
          <w:w w:val="105"/>
        </w:rPr>
        <w:t>ed</w:t>
      </w:r>
      <w:r>
        <w:rPr>
          <w:spacing w:val="-14"/>
          <w:w w:val="105"/>
        </w:rPr>
        <w:t> </w:t>
      </w:r>
      <w:r>
        <w:rPr>
          <w:w w:val="105"/>
        </w:rPr>
        <w:t>integrazioni</w:t>
      </w:r>
      <w:r>
        <w:rPr>
          <w:spacing w:val="-14"/>
          <w:w w:val="105"/>
        </w:rPr>
        <w:t> </w:t>
      </w:r>
      <w:r>
        <w:rPr>
          <w:w w:val="105"/>
        </w:rPr>
        <w:t>a</w:t>
      </w:r>
      <w:r>
        <w:rPr>
          <w:spacing w:val="-15"/>
          <w:w w:val="105"/>
        </w:rPr>
        <w:t> </w:t>
      </w:r>
      <w:r>
        <w:rPr>
          <w:w w:val="105"/>
        </w:rPr>
        <w:t>stima previsti in domanda, le relative eccedenze saranno immediatamente distribuite</w:t>
      </w:r>
      <w:r>
        <w:rPr>
          <w:spacing w:val="-20"/>
          <w:w w:val="105"/>
        </w:rPr>
        <w:t> </w:t>
      </w:r>
      <w:r>
        <w:rPr>
          <w:w w:val="105"/>
        </w:rPr>
        <w:t>ai</w:t>
      </w:r>
      <w:r>
        <w:rPr>
          <w:spacing w:val="-20"/>
          <w:w w:val="105"/>
        </w:rPr>
        <w:t> </w:t>
      </w:r>
      <w:r>
        <w:rPr>
          <w:w w:val="105"/>
        </w:rPr>
        <w:t>creditori</w:t>
      </w:r>
      <w:r>
        <w:rPr>
          <w:spacing w:val="-22"/>
          <w:w w:val="105"/>
        </w:rPr>
        <w:t> </w:t>
      </w:r>
      <w:r>
        <w:rPr>
          <w:w w:val="105"/>
        </w:rPr>
        <w:t>chirografari</w:t>
      </w:r>
      <w:r>
        <w:rPr>
          <w:spacing w:val="-20"/>
          <w:w w:val="105"/>
        </w:rPr>
        <w:t> </w:t>
      </w:r>
      <w:r>
        <w:rPr>
          <w:w w:val="105"/>
        </w:rPr>
        <w:t>al</w:t>
      </w:r>
      <w:r>
        <w:rPr>
          <w:spacing w:val="-20"/>
          <w:w w:val="105"/>
        </w:rPr>
        <w:t> </w:t>
      </w:r>
      <w:r>
        <w:rPr>
          <w:w w:val="105"/>
        </w:rPr>
        <w:t>termine</w:t>
      </w:r>
      <w:r>
        <w:rPr>
          <w:spacing w:val="-20"/>
          <w:w w:val="105"/>
        </w:rPr>
        <w:t> </w:t>
      </w:r>
      <w:r>
        <w:rPr>
          <w:w w:val="105"/>
        </w:rPr>
        <w:t>di</w:t>
      </w:r>
      <w:r>
        <w:rPr>
          <w:spacing w:val="-20"/>
          <w:w w:val="105"/>
        </w:rPr>
        <w:t> </w:t>
      </w:r>
      <w:r>
        <w:rPr>
          <w:w w:val="105"/>
        </w:rPr>
        <w:t>esecuzione</w:t>
      </w:r>
      <w:r>
        <w:rPr>
          <w:spacing w:val="-20"/>
          <w:w w:val="105"/>
        </w:rPr>
        <w:t> </w:t>
      </w:r>
      <w:r>
        <w:rPr>
          <w:w w:val="105"/>
        </w:rPr>
        <w:t>del</w:t>
      </w:r>
      <w:r>
        <w:rPr>
          <w:spacing w:val="-20"/>
          <w:w w:val="105"/>
        </w:rPr>
        <w:t> </w:t>
      </w:r>
      <w:r>
        <w:rPr>
          <w:w w:val="105"/>
        </w:rPr>
        <w:t>Piano.</w:t>
      </w:r>
    </w:p>
    <w:p>
      <w:pPr>
        <w:pStyle w:val="BodyText"/>
        <w:spacing w:line="491" w:lineRule="auto"/>
        <w:ind w:left="400" w:right="2196"/>
        <w:jc w:val="both"/>
      </w:pPr>
      <w:r>
        <w:rPr>
          <w:w w:val="105"/>
        </w:rPr>
        <w:t>Per il dettaglio completo dei creditori beneficiari e delle rispettive cause di prelazione, si rimanda all’elenco nominativo dei creditori allegato alla presente domanda, all’interno del Piano di concordato (doc. 66).</w:t>
      </w:r>
    </w:p>
    <w:p>
      <w:pPr>
        <w:spacing w:after="0" w:line="491" w:lineRule="auto"/>
        <w:jc w:val="both"/>
        <w:sectPr>
          <w:pgSz w:w="12240" w:h="15840"/>
          <w:pgMar w:header="0" w:footer="790" w:top="1500" w:bottom="980" w:left="1720" w:right="1200"/>
        </w:sectPr>
      </w:pPr>
    </w:p>
    <w:p>
      <w:pPr>
        <w:pStyle w:val="Heading2"/>
        <w:spacing w:before="105"/>
        <w:ind w:right="2273"/>
      </w:pPr>
      <w:bookmarkStart w:name="_TOC_250010" w:id="42"/>
      <w:bookmarkEnd w:id="42"/>
      <w:r>
        <w:rPr>
          <w:w w:val="105"/>
        </w:rPr>
        <w:t>CAPITOLO 9</w:t>
      </w:r>
    </w:p>
    <w:p>
      <w:pPr>
        <w:pStyle w:val="BodyText"/>
        <w:rPr>
          <w:b/>
          <w:sz w:val="23"/>
        </w:rPr>
      </w:pPr>
    </w:p>
    <w:p>
      <w:pPr>
        <w:pStyle w:val="Heading2"/>
        <w:ind w:right="2272"/>
      </w:pPr>
      <w:bookmarkStart w:name="_TOC_250009" w:id="43"/>
      <w:bookmarkEnd w:id="43"/>
      <w:r>
        <w:rPr>
          <w:w w:val="105"/>
        </w:rPr>
        <w:t>La veridicità dei dati aziendali e la fattibilità del Piano</w:t>
      </w:r>
    </w:p>
    <w:p>
      <w:pPr>
        <w:pStyle w:val="BodyText"/>
        <w:spacing w:before="1"/>
        <w:rPr>
          <w:b/>
          <w:sz w:val="23"/>
        </w:rPr>
      </w:pPr>
    </w:p>
    <w:p>
      <w:pPr>
        <w:pStyle w:val="BodyText"/>
        <w:spacing w:line="491" w:lineRule="auto"/>
        <w:ind w:left="400" w:right="2195"/>
        <w:jc w:val="both"/>
      </w:pPr>
      <w:r>
        <w:rPr>
          <w:w w:val="105"/>
        </w:rPr>
        <w:t>La veridicità dei dati aziendali e la fattibilità del Piano sono oggetto di specifica relazione da parte di professionisti rispondenti ai requisiti di cui all’art.</w:t>
      </w:r>
      <w:r>
        <w:rPr>
          <w:spacing w:val="-5"/>
          <w:w w:val="105"/>
        </w:rPr>
        <w:t> </w:t>
      </w:r>
      <w:r>
        <w:rPr>
          <w:w w:val="105"/>
        </w:rPr>
        <w:t>28</w:t>
      </w:r>
      <w:r>
        <w:rPr>
          <w:spacing w:val="-5"/>
          <w:w w:val="105"/>
        </w:rPr>
        <w:t> </w:t>
      </w:r>
      <w:r>
        <w:rPr>
          <w:w w:val="105"/>
        </w:rPr>
        <w:t>del</w:t>
      </w:r>
      <w:r>
        <w:rPr>
          <w:spacing w:val="-5"/>
          <w:w w:val="105"/>
        </w:rPr>
        <w:t> </w:t>
      </w:r>
      <w:r>
        <w:rPr>
          <w:w w:val="105"/>
        </w:rPr>
        <w:t>R.D.</w:t>
      </w:r>
      <w:r>
        <w:rPr>
          <w:spacing w:val="-5"/>
          <w:w w:val="105"/>
        </w:rPr>
        <w:t> </w:t>
      </w:r>
      <w:r>
        <w:rPr>
          <w:w w:val="105"/>
        </w:rPr>
        <w:t>n.</w:t>
      </w:r>
      <w:r>
        <w:rPr>
          <w:spacing w:val="-4"/>
          <w:w w:val="105"/>
        </w:rPr>
        <w:t> </w:t>
      </w:r>
      <w:r>
        <w:rPr>
          <w:w w:val="105"/>
        </w:rPr>
        <w:t>267/1942</w:t>
      </w:r>
      <w:r>
        <w:rPr>
          <w:spacing w:val="-4"/>
          <w:w w:val="105"/>
        </w:rPr>
        <w:t> </w:t>
      </w:r>
      <w:r>
        <w:rPr>
          <w:w w:val="105"/>
        </w:rPr>
        <w:t>e</w:t>
      </w:r>
      <w:r>
        <w:rPr>
          <w:spacing w:val="-5"/>
          <w:w w:val="105"/>
        </w:rPr>
        <w:t> </w:t>
      </w:r>
      <w:r>
        <w:rPr>
          <w:w w:val="105"/>
        </w:rPr>
        <w:t>alla</w:t>
      </w:r>
      <w:r>
        <w:rPr>
          <w:spacing w:val="-5"/>
          <w:w w:val="105"/>
        </w:rPr>
        <w:t> </w:t>
      </w:r>
      <w:r>
        <w:rPr>
          <w:w w:val="105"/>
        </w:rPr>
        <w:t>loro</w:t>
      </w:r>
      <w:r>
        <w:rPr>
          <w:spacing w:val="-5"/>
          <w:w w:val="105"/>
        </w:rPr>
        <w:t> </w:t>
      </w:r>
      <w:r>
        <w:rPr>
          <w:w w:val="105"/>
        </w:rPr>
        <w:t>relazione</w:t>
      </w:r>
      <w:r>
        <w:rPr>
          <w:spacing w:val="-2"/>
          <w:w w:val="105"/>
        </w:rPr>
        <w:t> </w:t>
      </w:r>
      <w:r>
        <w:rPr>
          <w:w w:val="105"/>
        </w:rPr>
        <w:t>si</w:t>
      </w:r>
      <w:r>
        <w:rPr>
          <w:spacing w:val="-5"/>
          <w:w w:val="105"/>
        </w:rPr>
        <w:t> </w:t>
      </w:r>
      <w:r>
        <w:rPr>
          <w:w w:val="105"/>
        </w:rPr>
        <w:t>deve</w:t>
      </w:r>
      <w:r>
        <w:rPr>
          <w:spacing w:val="-5"/>
          <w:w w:val="105"/>
        </w:rPr>
        <w:t> </w:t>
      </w:r>
      <w:r>
        <w:rPr>
          <w:w w:val="105"/>
        </w:rPr>
        <w:t>necessariamente rimandare</w:t>
      </w:r>
      <w:r>
        <w:rPr>
          <w:spacing w:val="-21"/>
          <w:w w:val="105"/>
        </w:rPr>
        <w:t> </w:t>
      </w:r>
      <w:r>
        <w:rPr>
          <w:w w:val="105"/>
        </w:rPr>
        <w:t>per</w:t>
      </w:r>
      <w:r>
        <w:rPr>
          <w:spacing w:val="-21"/>
          <w:w w:val="105"/>
        </w:rPr>
        <w:t> </w:t>
      </w:r>
      <w:r>
        <w:rPr>
          <w:w w:val="105"/>
        </w:rPr>
        <w:t>la</w:t>
      </w:r>
      <w:r>
        <w:rPr>
          <w:spacing w:val="-20"/>
          <w:w w:val="105"/>
        </w:rPr>
        <w:t> </w:t>
      </w:r>
      <w:r>
        <w:rPr>
          <w:w w:val="105"/>
        </w:rPr>
        <w:t>trattazione</w:t>
      </w:r>
      <w:r>
        <w:rPr>
          <w:spacing w:val="-21"/>
          <w:w w:val="105"/>
        </w:rPr>
        <w:t> </w:t>
      </w:r>
      <w:r>
        <w:rPr>
          <w:w w:val="105"/>
        </w:rPr>
        <w:t>analitica</w:t>
      </w:r>
      <w:r>
        <w:rPr>
          <w:spacing w:val="-21"/>
          <w:w w:val="105"/>
        </w:rPr>
        <w:t> </w:t>
      </w:r>
      <w:r>
        <w:rPr>
          <w:w w:val="105"/>
        </w:rPr>
        <w:t>del</w:t>
      </w:r>
      <w:r>
        <w:rPr>
          <w:spacing w:val="-20"/>
          <w:w w:val="105"/>
        </w:rPr>
        <w:t> </w:t>
      </w:r>
      <w:r>
        <w:rPr>
          <w:w w:val="105"/>
        </w:rPr>
        <w:t>tema.</w:t>
      </w:r>
    </w:p>
    <w:p>
      <w:pPr>
        <w:pStyle w:val="BodyText"/>
        <w:spacing w:line="491" w:lineRule="auto"/>
        <w:ind w:left="400" w:right="2196"/>
        <w:jc w:val="both"/>
      </w:pPr>
      <w:r>
        <w:rPr>
          <w:w w:val="105"/>
        </w:rPr>
        <w:t>Si</w:t>
      </w:r>
      <w:r>
        <w:rPr>
          <w:spacing w:val="-10"/>
          <w:w w:val="105"/>
        </w:rPr>
        <w:t> </w:t>
      </w:r>
      <w:r>
        <w:rPr>
          <w:w w:val="105"/>
        </w:rPr>
        <w:t>allega</w:t>
      </w:r>
      <w:r>
        <w:rPr>
          <w:spacing w:val="-11"/>
          <w:w w:val="105"/>
        </w:rPr>
        <w:t> </w:t>
      </w:r>
      <w:r>
        <w:rPr>
          <w:i/>
          <w:w w:val="105"/>
        </w:rPr>
        <w:t>sub</w:t>
      </w:r>
      <w:r>
        <w:rPr>
          <w:i/>
          <w:spacing w:val="-11"/>
          <w:w w:val="105"/>
        </w:rPr>
        <w:t> </w:t>
      </w:r>
      <w:r>
        <w:rPr>
          <w:b/>
          <w:w w:val="105"/>
        </w:rPr>
        <w:t>doc.</w:t>
      </w:r>
      <w:r>
        <w:rPr>
          <w:b/>
          <w:spacing w:val="-5"/>
          <w:w w:val="105"/>
        </w:rPr>
        <w:t> </w:t>
      </w:r>
      <w:r>
        <w:rPr>
          <w:b/>
          <w:w w:val="105"/>
        </w:rPr>
        <w:t>71</w:t>
      </w:r>
      <w:r>
        <w:rPr>
          <w:b/>
          <w:spacing w:val="-11"/>
          <w:w w:val="105"/>
        </w:rPr>
        <w:t> </w:t>
      </w:r>
      <w:r>
        <w:rPr>
          <w:w w:val="105"/>
        </w:rPr>
        <w:t>la</w:t>
      </w:r>
      <w:r>
        <w:rPr>
          <w:spacing w:val="-12"/>
          <w:w w:val="105"/>
        </w:rPr>
        <w:t> </w:t>
      </w:r>
      <w:r>
        <w:rPr>
          <w:w w:val="105"/>
        </w:rPr>
        <w:t>Relazione</w:t>
      </w:r>
      <w:r>
        <w:rPr>
          <w:spacing w:val="-12"/>
          <w:w w:val="105"/>
        </w:rPr>
        <w:t> </w:t>
      </w:r>
      <w:r>
        <w:rPr>
          <w:w w:val="105"/>
        </w:rPr>
        <w:t>ex</w:t>
      </w:r>
      <w:r>
        <w:rPr>
          <w:spacing w:val="-12"/>
          <w:w w:val="105"/>
        </w:rPr>
        <w:t> </w:t>
      </w:r>
      <w:r>
        <w:rPr>
          <w:w w:val="105"/>
        </w:rPr>
        <w:t>art.</w:t>
      </w:r>
      <w:r>
        <w:rPr>
          <w:spacing w:val="-10"/>
          <w:w w:val="105"/>
        </w:rPr>
        <w:t> </w:t>
      </w:r>
      <w:r>
        <w:rPr>
          <w:w w:val="105"/>
        </w:rPr>
        <w:t>161</w:t>
      </w:r>
      <w:r>
        <w:rPr>
          <w:spacing w:val="-12"/>
          <w:w w:val="105"/>
        </w:rPr>
        <w:t> </w:t>
      </w:r>
      <w:r>
        <w:rPr>
          <w:w w:val="105"/>
        </w:rPr>
        <w:t>Legge</w:t>
      </w:r>
      <w:r>
        <w:rPr>
          <w:spacing w:val="-12"/>
          <w:w w:val="105"/>
        </w:rPr>
        <w:t> </w:t>
      </w:r>
      <w:r>
        <w:rPr>
          <w:w w:val="105"/>
        </w:rPr>
        <w:t>Fallimentare</w:t>
      </w:r>
      <w:r>
        <w:rPr>
          <w:spacing w:val="-12"/>
          <w:w w:val="105"/>
        </w:rPr>
        <w:t> </w:t>
      </w:r>
      <w:r>
        <w:rPr>
          <w:w w:val="105"/>
        </w:rPr>
        <w:t>degli</w:t>
      </w:r>
      <w:r>
        <w:rPr>
          <w:spacing w:val="-12"/>
          <w:w w:val="105"/>
        </w:rPr>
        <w:t> </w:t>
      </w:r>
      <w:r>
        <w:rPr>
          <w:w w:val="105"/>
        </w:rPr>
        <w:t>esperti, il dott. Alessandro Solidoro e il dott. Carlo Pagliughi, commercialisti in Milano,</w:t>
      </w:r>
      <w:r>
        <w:rPr>
          <w:spacing w:val="-12"/>
          <w:w w:val="105"/>
        </w:rPr>
        <w:t> </w:t>
      </w:r>
      <w:r>
        <w:rPr>
          <w:w w:val="105"/>
        </w:rPr>
        <w:t>i</w:t>
      </w:r>
      <w:r>
        <w:rPr>
          <w:spacing w:val="-13"/>
          <w:w w:val="105"/>
        </w:rPr>
        <w:t> </w:t>
      </w:r>
      <w:r>
        <w:rPr>
          <w:w w:val="105"/>
        </w:rPr>
        <w:t>quali</w:t>
      </w:r>
      <w:r>
        <w:rPr>
          <w:spacing w:val="-13"/>
          <w:w w:val="105"/>
        </w:rPr>
        <w:t> </w:t>
      </w:r>
      <w:r>
        <w:rPr>
          <w:w w:val="105"/>
        </w:rPr>
        <w:t>hanno</w:t>
      </w:r>
      <w:r>
        <w:rPr>
          <w:spacing w:val="-13"/>
          <w:w w:val="105"/>
        </w:rPr>
        <w:t> </w:t>
      </w:r>
      <w:r>
        <w:rPr>
          <w:w w:val="105"/>
        </w:rPr>
        <w:t>attestato</w:t>
      </w:r>
      <w:r>
        <w:rPr>
          <w:spacing w:val="-12"/>
          <w:w w:val="105"/>
        </w:rPr>
        <w:t> </w:t>
      </w:r>
      <w:r>
        <w:rPr>
          <w:w w:val="105"/>
        </w:rPr>
        <w:t>la</w:t>
      </w:r>
      <w:r>
        <w:rPr>
          <w:spacing w:val="-13"/>
          <w:w w:val="105"/>
        </w:rPr>
        <w:t> </w:t>
      </w:r>
      <w:r>
        <w:rPr>
          <w:w w:val="105"/>
        </w:rPr>
        <w:t>veridicità</w:t>
      </w:r>
      <w:r>
        <w:rPr>
          <w:spacing w:val="-14"/>
          <w:w w:val="105"/>
        </w:rPr>
        <w:t> </w:t>
      </w:r>
      <w:r>
        <w:rPr>
          <w:w w:val="105"/>
        </w:rPr>
        <w:t>dei</w:t>
      </w:r>
      <w:r>
        <w:rPr>
          <w:spacing w:val="-13"/>
          <w:w w:val="105"/>
        </w:rPr>
        <w:t> </w:t>
      </w:r>
      <w:r>
        <w:rPr>
          <w:w w:val="105"/>
        </w:rPr>
        <w:t>dati</w:t>
      </w:r>
      <w:r>
        <w:rPr>
          <w:spacing w:val="-13"/>
          <w:w w:val="105"/>
        </w:rPr>
        <w:t> </w:t>
      </w:r>
      <w:r>
        <w:rPr>
          <w:w w:val="105"/>
        </w:rPr>
        <w:t>aziendali</w:t>
      </w:r>
      <w:r>
        <w:rPr>
          <w:spacing w:val="-12"/>
          <w:w w:val="105"/>
        </w:rPr>
        <w:t> </w:t>
      </w:r>
      <w:r>
        <w:rPr>
          <w:w w:val="105"/>
        </w:rPr>
        <w:t>e</w:t>
      </w:r>
      <w:r>
        <w:rPr>
          <w:spacing w:val="-13"/>
          <w:w w:val="105"/>
        </w:rPr>
        <w:t> </w:t>
      </w:r>
      <w:r>
        <w:rPr>
          <w:w w:val="105"/>
        </w:rPr>
        <w:t>la</w:t>
      </w:r>
      <w:r>
        <w:rPr>
          <w:spacing w:val="-13"/>
          <w:w w:val="105"/>
        </w:rPr>
        <w:t> </w:t>
      </w:r>
      <w:r>
        <w:rPr>
          <w:w w:val="105"/>
        </w:rPr>
        <w:t>fattibilità</w:t>
      </w:r>
      <w:r>
        <w:rPr>
          <w:spacing w:val="-14"/>
          <w:w w:val="105"/>
        </w:rPr>
        <w:t> </w:t>
      </w:r>
      <w:r>
        <w:rPr>
          <w:w w:val="105"/>
        </w:rPr>
        <w:t>del Piano.</w:t>
      </w:r>
    </w:p>
    <w:p>
      <w:pPr>
        <w:spacing w:after="0" w:line="491" w:lineRule="auto"/>
        <w:jc w:val="both"/>
        <w:sectPr>
          <w:pgSz w:w="12240" w:h="15840"/>
          <w:pgMar w:header="0" w:footer="790" w:top="1500" w:bottom="980" w:left="1720" w:right="1200"/>
        </w:sectPr>
      </w:pPr>
    </w:p>
    <w:p>
      <w:pPr>
        <w:pStyle w:val="BodyText"/>
        <w:rPr>
          <w:sz w:val="20"/>
        </w:rPr>
      </w:pPr>
    </w:p>
    <w:p>
      <w:pPr>
        <w:pStyle w:val="BodyText"/>
        <w:spacing w:before="1"/>
        <w:rPr>
          <w:sz w:val="25"/>
        </w:rPr>
      </w:pPr>
    </w:p>
    <w:p>
      <w:pPr>
        <w:pStyle w:val="Heading2"/>
        <w:spacing w:before="106"/>
        <w:ind w:left="3041"/>
        <w:jc w:val="left"/>
      </w:pPr>
      <w:bookmarkStart w:name="_TOC_250008" w:id="44"/>
      <w:bookmarkEnd w:id="44"/>
      <w:r>
        <w:rPr/>
        <w:t>CAPITOLO 10</w:t>
      </w:r>
    </w:p>
    <w:p>
      <w:pPr>
        <w:pStyle w:val="BodyText"/>
        <w:spacing w:before="2"/>
        <w:rPr>
          <w:b/>
          <w:sz w:val="23"/>
        </w:rPr>
      </w:pPr>
    </w:p>
    <w:p>
      <w:pPr>
        <w:spacing w:line="491" w:lineRule="auto" w:before="0"/>
        <w:ind w:left="400" w:right="2194" w:firstLine="558"/>
        <w:jc w:val="left"/>
        <w:rPr>
          <w:sz w:val="22"/>
        </w:rPr>
      </w:pPr>
      <w:r>
        <w:rPr>
          <w:b/>
          <w:w w:val="105"/>
          <w:sz w:val="22"/>
        </w:rPr>
        <w:t>Disponibilità liquide per il deposito delle spese di giustizia </w:t>
      </w:r>
      <w:r>
        <w:rPr>
          <w:w w:val="105"/>
          <w:sz w:val="22"/>
        </w:rPr>
        <w:t>Saranno</w:t>
      </w:r>
      <w:r>
        <w:rPr>
          <w:spacing w:val="-12"/>
          <w:w w:val="105"/>
          <w:sz w:val="22"/>
        </w:rPr>
        <w:t> </w:t>
      </w:r>
      <w:r>
        <w:rPr>
          <w:w w:val="105"/>
          <w:sz w:val="22"/>
        </w:rPr>
        <w:t>disponibili,</w:t>
      </w:r>
      <w:r>
        <w:rPr>
          <w:spacing w:val="-12"/>
          <w:w w:val="105"/>
          <w:sz w:val="22"/>
        </w:rPr>
        <w:t> </w:t>
      </w:r>
      <w:r>
        <w:rPr>
          <w:w w:val="105"/>
          <w:sz w:val="22"/>
        </w:rPr>
        <w:t>entro</w:t>
      </w:r>
      <w:r>
        <w:rPr>
          <w:spacing w:val="-14"/>
          <w:w w:val="105"/>
          <w:sz w:val="22"/>
        </w:rPr>
        <w:t> </w:t>
      </w:r>
      <w:r>
        <w:rPr>
          <w:w w:val="105"/>
          <w:sz w:val="22"/>
        </w:rPr>
        <w:t>il</w:t>
      </w:r>
      <w:r>
        <w:rPr>
          <w:spacing w:val="-12"/>
          <w:w w:val="105"/>
          <w:sz w:val="22"/>
        </w:rPr>
        <w:t> </w:t>
      </w:r>
      <w:r>
        <w:rPr>
          <w:w w:val="105"/>
          <w:sz w:val="22"/>
        </w:rPr>
        <w:t>termine</w:t>
      </w:r>
      <w:r>
        <w:rPr>
          <w:spacing w:val="-13"/>
          <w:w w:val="105"/>
          <w:sz w:val="22"/>
        </w:rPr>
        <w:t> </w:t>
      </w:r>
      <w:r>
        <w:rPr>
          <w:w w:val="105"/>
          <w:sz w:val="22"/>
        </w:rPr>
        <w:t>che</w:t>
      </w:r>
      <w:r>
        <w:rPr>
          <w:spacing w:val="-13"/>
          <w:w w:val="105"/>
          <w:sz w:val="22"/>
        </w:rPr>
        <w:t> </w:t>
      </w:r>
      <w:r>
        <w:rPr>
          <w:w w:val="105"/>
          <w:sz w:val="22"/>
        </w:rPr>
        <w:t>si</w:t>
      </w:r>
      <w:r>
        <w:rPr>
          <w:spacing w:val="-12"/>
          <w:w w:val="105"/>
          <w:sz w:val="22"/>
        </w:rPr>
        <w:t> </w:t>
      </w:r>
      <w:r>
        <w:rPr>
          <w:w w:val="105"/>
          <w:sz w:val="22"/>
        </w:rPr>
        <w:t>auspica</w:t>
      </w:r>
      <w:r>
        <w:rPr>
          <w:spacing w:val="-12"/>
          <w:w w:val="105"/>
          <w:sz w:val="22"/>
        </w:rPr>
        <w:t> </w:t>
      </w:r>
      <w:r>
        <w:rPr>
          <w:w w:val="105"/>
          <w:sz w:val="22"/>
        </w:rPr>
        <w:t>sarà</w:t>
      </w:r>
      <w:r>
        <w:rPr>
          <w:spacing w:val="-12"/>
          <w:w w:val="105"/>
          <w:sz w:val="22"/>
        </w:rPr>
        <w:t> </w:t>
      </w:r>
      <w:r>
        <w:rPr>
          <w:w w:val="105"/>
          <w:sz w:val="22"/>
        </w:rPr>
        <w:t>fissato</w:t>
      </w:r>
      <w:r>
        <w:rPr>
          <w:spacing w:val="-12"/>
          <w:w w:val="105"/>
          <w:sz w:val="22"/>
        </w:rPr>
        <w:t> </w:t>
      </w:r>
      <w:r>
        <w:rPr>
          <w:w w:val="105"/>
          <w:sz w:val="22"/>
        </w:rPr>
        <w:t>in</w:t>
      </w:r>
      <w:r>
        <w:rPr>
          <w:spacing w:val="-13"/>
          <w:w w:val="105"/>
          <w:sz w:val="22"/>
        </w:rPr>
        <w:t> </w:t>
      </w:r>
      <w:r>
        <w:rPr>
          <w:w w:val="105"/>
          <w:sz w:val="22"/>
        </w:rPr>
        <w:t>giorni</w:t>
      </w:r>
      <w:r>
        <w:rPr>
          <w:spacing w:val="-13"/>
          <w:w w:val="105"/>
          <w:sz w:val="22"/>
        </w:rPr>
        <w:t> </w:t>
      </w:r>
      <w:r>
        <w:rPr>
          <w:w w:val="105"/>
          <w:sz w:val="22"/>
        </w:rPr>
        <w:t>15,</w:t>
      </w:r>
      <w:r>
        <w:rPr>
          <w:spacing w:val="-12"/>
          <w:w w:val="105"/>
          <w:sz w:val="22"/>
        </w:rPr>
        <w:t> </w:t>
      </w:r>
      <w:r>
        <w:rPr>
          <w:w w:val="105"/>
          <w:sz w:val="22"/>
        </w:rPr>
        <w:t>le attività liquide per il deposito delle spese di giustizia stimate con l’aliquota compresa</w:t>
      </w:r>
      <w:r>
        <w:rPr>
          <w:spacing w:val="-28"/>
          <w:w w:val="105"/>
          <w:sz w:val="22"/>
        </w:rPr>
        <w:t> </w:t>
      </w:r>
      <w:r>
        <w:rPr>
          <w:w w:val="105"/>
          <w:sz w:val="22"/>
        </w:rPr>
        <w:t>nell’intervallo</w:t>
      </w:r>
      <w:r>
        <w:rPr>
          <w:spacing w:val="-28"/>
          <w:w w:val="105"/>
          <w:sz w:val="22"/>
        </w:rPr>
        <w:t> </w:t>
      </w:r>
      <w:r>
        <w:rPr>
          <w:w w:val="105"/>
          <w:sz w:val="22"/>
        </w:rPr>
        <w:t>medio-massimo</w:t>
      </w:r>
      <w:r>
        <w:rPr>
          <w:spacing w:val="-26"/>
          <w:w w:val="105"/>
          <w:sz w:val="22"/>
        </w:rPr>
        <w:t> </w:t>
      </w:r>
      <w:r>
        <w:rPr>
          <w:w w:val="105"/>
          <w:sz w:val="22"/>
        </w:rPr>
        <w:t>in</w:t>
      </w:r>
      <w:r>
        <w:rPr>
          <w:spacing w:val="-26"/>
          <w:w w:val="105"/>
          <w:sz w:val="22"/>
        </w:rPr>
        <w:t> </w:t>
      </w:r>
      <w:r>
        <w:rPr>
          <w:w w:val="105"/>
          <w:sz w:val="22"/>
        </w:rPr>
        <w:t>circa</w:t>
      </w:r>
      <w:r>
        <w:rPr>
          <w:spacing w:val="-27"/>
          <w:w w:val="105"/>
          <w:sz w:val="22"/>
        </w:rPr>
        <w:t> </w:t>
      </w:r>
      <w:r>
        <w:rPr>
          <w:w w:val="105"/>
          <w:sz w:val="22"/>
        </w:rPr>
        <w:t>Euro</w:t>
      </w:r>
      <w:r>
        <w:rPr>
          <w:spacing w:val="-26"/>
          <w:w w:val="105"/>
          <w:sz w:val="22"/>
        </w:rPr>
        <w:t> </w:t>
      </w:r>
      <w:r>
        <w:rPr>
          <w:w w:val="105"/>
          <w:sz w:val="22"/>
        </w:rPr>
        <w:t>2.607.668,00.</w:t>
      </w:r>
    </w:p>
    <w:p>
      <w:pPr>
        <w:pStyle w:val="BodyText"/>
        <w:spacing w:line="491" w:lineRule="auto"/>
        <w:ind w:left="400" w:right="2197"/>
        <w:jc w:val="both"/>
      </w:pPr>
      <w:r>
        <w:rPr>
          <w:w w:val="105"/>
        </w:rPr>
        <w:t>Ai</w:t>
      </w:r>
      <w:r>
        <w:rPr>
          <w:spacing w:val="-13"/>
          <w:w w:val="105"/>
        </w:rPr>
        <w:t> </w:t>
      </w:r>
      <w:r>
        <w:rPr>
          <w:w w:val="105"/>
        </w:rPr>
        <w:t>sensi</w:t>
      </w:r>
      <w:r>
        <w:rPr>
          <w:spacing w:val="-13"/>
          <w:w w:val="105"/>
        </w:rPr>
        <w:t> </w:t>
      </w:r>
      <w:r>
        <w:rPr>
          <w:w w:val="105"/>
        </w:rPr>
        <w:t>dell’art.</w:t>
      </w:r>
      <w:r>
        <w:rPr>
          <w:spacing w:val="-14"/>
          <w:w w:val="105"/>
        </w:rPr>
        <w:t> </w:t>
      </w:r>
      <w:r>
        <w:rPr>
          <w:w w:val="105"/>
        </w:rPr>
        <w:t>163,</w:t>
      </w:r>
      <w:r>
        <w:rPr>
          <w:spacing w:val="-13"/>
          <w:w w:val="105"/>
        </w:rPr>
        <w:t> </w:t>
      </w:r>
      <w:r>
        <w:rPr>
          <w:w w:val="105"/>
        </w:rPr>
        <w:t>comma</w:t>
      </w:r>
      <w:r>
        <w:rPr>
          <w:spacing w:val="-14"/>
          <w:w w:val="105"/>
        </w:rPr>
        <w:t> </w:t>
      </w:r>
      <w:r>
        <w:rPr>
          <w:w w:val="105"/>
        </w:rPr>
        <w:t>4,</w:t>
      </w:r>
      <w:r>
        <w:rPr>
          <w:spacing w:val="-13"/>
          <w:w w:val="105"/>
        </w:rPr>
        <w:t> </w:t>
      </w:r>
      <w:r>
        <w:rPr>
          <w:w w:val="105"/>
        </w:rPr>
        <w:t>del</w:t>
      </w:r>
      <w:r>
        <w:rPr>
          <w:spacing w:val="-13"/>
          <w:w w:val="105"/>
        </w:rPr>
        <w:t> </w:t>
      </w:r>
      <w:r>
        <w:rPr>
          <w:w w:val="105"/>
        </w:rPr>
        <w:t>R.D.</w:t>
      </w:r>
      <w:r>
        <w:rPr>
          <w:spacing w:val="-12"/>
          <w:w w:val="105"/>
        </w:rPr>
        <w:t> </w:t>
      </w:r>
      <w:r>
        <w:rPr>
          <w:w w:val="105"/>
        </w:rPr>
        <w:t>n.</w:t>
      </w:r>
      <w:r>
        <w:rPr>
          <w:spacing w:val="-13"/>
          <w:w w:val="105"/>
        </w:rPr>
        <w:t> </w:t>
      </w:r>
      <w:r>
        <w:rPr>
          <w:w w:val="105"/>
        </w:rPr>
        <w:t>267/1942,</w:t>
      </w:r>
      <w:r>
        <w:rPr>
          <w:spacing w:val="-12"/>
          <w:w w:val="105"/>
        </w:rPr>
        <w:t> </w:t>
      </w:r>
      <w:r>
        <w:rPr>
          <w:w w:val="105"/>
        </w:rPr>
        <w:t>la</w:t>
      </w:r>
      <w:r>
        <w:rPr>
          <w:spacing w:val="-13"/>
          <w:w w:val="105"/>
        </w:rPr>
        <w:t> </w:t>
      </w:r>
      <w:r>
        <w:rPr>
          <w:w w:val="105"/>
        </w:rPr>
        <w:t>Società</w:t>
      </w:r>
      <w:r>
        <w:rPr>
          <w:spacing w:val="-14"/>
          <w:w w:val="105"/>
        </w:rPr>
        <w:t> </w:t>
      </w:r>
      <w:r>
        <w:rPr>
          <w:w w:val="105"/>
        </w:rPr>
        <w:t>chiede</w:t>
      </w:r>
      <w:r>
        <w:rPr>
          <w:spacing w:val="-14"/>
          <w:w w:val="105"/>
        </w:rPr>
        <w:t> </w:t>
      </w:r>
      <w:r>
        <w:rPr>
          <w:w w:val="105"/>
        </w:rPr>
        <w:t>che</w:t>
      </w:r>
      <w:r>
        <w:rPr>
          <w:spacing w:val="-13"/>
          <w:w w:val="105"/>
        </w:rPr>
        <w:t> </w:t>
      </w:r>
      <w:r>
        <w:rPr>
          <w:w w:val="105"/>
        </w:rPr>
        <w:t>il Tribunale determini l’ammontare del deposito delle spese, da versare in Cancelleria,</w:t>
      </w:r>
      <w:r>
        <w:rPr>
          <w:spacing w:val="-17"/>
          <w:w w:val="105"/>
        </w:rPr>
        <w:t> </w:t>
      </w:r>
      <w:r>
        <w:rPr>
          <w:w w:val="105"/>
        </w:rPr>
        <w:t>in</w:t>
      </w:r>
      <w:r>
        <w:rPr>
          <w:spacing w:val="-18"/>
          <w:w w:val="105"/>
        </w:rPr>
        <w:t> </w:t>
      </w:r>
      <w:r>
        <w:rPr>
          <w:w w:val="105"/>
        </w:rPr>
        <w:t>misura</w:t>
      </w:r>
      <w:r>
        <w:rPr>
          <w:spacing w:val="-18"/>
          <w:w w:val="105"/>
        </w:rPr>
        <w:t> </w:t>
      </w:r>
      <w:r>
        <w:rPr>
          <w:w w:val="105"/>
        </w:rPr>
        <w:t>pari</w:t>
      </w:r>
      <w:r>
        <w:rPr>
          <w:spacing w:val="-18"/>
          <w:w w:val="105"/>
        </w:rPr>
        <w:t> </w:t>
      </w:r>
      <w:r>
        <w:rPr>
          <w:w w:val="105"/>
        </w:rPr>
        <w:t>al</w:t>
      </w:r>
      <w:r>
        <w:rPr>
          <w:spacing w:val="-18"/>
          <w:w w:val="105"/>
        </w:rPr>
        <w:t> </w:t>
      </w:r>
      <w:r>
        <w:rPr>
          <w:w w:val="105"/>
        </w:rPr>
        <w:t>20%</w:t>
      </w:r>
      <w:r>
        <w:rPr>
          <w:spacing w:val="-18"/>
          <w:w w:val="105"/>
        </w:rPr>
        <w:t> </w:t>
      </w:r>
      <w:r>
        <w:rPr>
          <w:w w:val="105"/>
        </w:rPr>
        <w:t>della</w:t>
      </w:r>
      <w:r>
        <w:rPr>
          <w:spacing w:val="-20"/>
          <w:w w:val="105"/>
        </w:rPr>
        <w:t> </w:t>
      </w:r>
      <w:r>
        <w:rPr>
          <w:w w:val="105"/>
        </w:rPr>
        <w:t>suddetta</w:t>
      </w:r>
      <w:r>
        <w:rPr>
          <w:spacing w:val="-18"/>
          <w:w w:val="105"/>
        </w:rPr>
        <w:t> </w:t>
      </w:r>
      <w:r>
        <w:rPr>
          <w:w w:val="105"/>
        </w:rPr>
        <w:t>somma.</w:t>
      </w:r>
    </w:p>
    <w:p>
      <w:pPr>
        <w:spacing w:after="0" w:line="491" w:lineRule="auto"/>
        <w:jc w:val="both"/>
        <w:sectPr>
          <w:pgSz w:w="12240" w:h="15840"/>
          <w:pgMar w:header="0" w:footer="790" w:top="1500" w:bottom="980" w:left="1720" w:right="1200"/>
        </w:sectPr>
      </w:pPr>
    </w:p>
    <w:p>
      <w:pPr>
        <w:pStyle w:val="Heading2"/>
        <w:spacing w:before="105"/>
        <w:ind w:right="2273"/>
      </w:pPr>
      <w:bookmarkStart w:name="_TOC_250007" w:id="45"/>
      <w:bookmarkEnd w:id="45"/>
      <w:r>
        <w:rPr>
          <w:w w:val="105"/>
        </w:rPr>
        <w:t>CAPITOLO 11</w:t>
      </w:r>
    </w:p>
    <w:p>
      <w:pPr>
        <w:pStyle w:val="BodyText"/>
        <w:rPr>
          <w:b/>
          <w:sz w:val="23"/>
        </w:rPr>
      </w:pPr>
    </w:p>
    <w:p>
      <w:pPr>
        <w:pStyle w:val="Heading2"/>
        <w:spacing w:line="494" w:lineRule="auto"/>
        <w:ind w:right="2273"/>
      </w:pPr>
      <w:bookmarkStart w:name="_TOC_250006" w:id="46"/>
      <w:r>
        <w:rPr>
          <w:w w:val="105"/>
        </w:rPr>
        <w:t>Elenco</w:t>
      </w:r>
      <w:r>
        <w:rPr>
          <w:spacing w:val="-12"/>
          <w:w w:val="105"/>
        </w:rPr>
        <w:t> </w:t>
      </w:r>
      <w:r>
        <w:rPr>
          <w:w w:val="105"/>
        </w:rPr>
        <w:t>dei</w:t>
      </w:r>
      <w:r>
        <w:rPr>
          <w:spacing w:val="-13"/>
          <w:w w:val="105"/>
        </w:rPr>
        <w:t> </w:t>
      </w:r>
      <w:r>
        <w:rPr>
          <w:w w:val="105"/>
        </w:rPr>
        <w:t>titolari</w:t>
      </w:r>
      <w:r>
        <w:rPr>
          <w:spacing w:val="-14"/>
          <w:w w:val="105"/>
        </w:rPr>
        <w:t> </w:t>
      </w:r>
      <w:r>
        <w:rPr>
          <w:w w:val="105"/>
        </w:rPr>
        <w:t>dei</w:t>
      </w:r>
      <w:r>
        <w:rPr>
          <w:spacing w:val="-13"/>
          <w:w w:val="105"/>
        </w:rPr>
        <w:t> </w:t>
      </w:r>
      <w:r>
        <w:rPr>
          <w:w w:val="105"/>
        </w:rPr>
        <w:t>diritti</w:t>
      </w:r>
      <w:r>
        <w:rPr>
          <w:spacing w:val="-14"/>
          <w:w w:val="105"/>
        </w:rPr>
        <w:t> </w:t>
      </w:r>
      <w:r>
        <w:rPr>
          <w:w w:val="105"/>
        </w:rPr>
        <w:t>reali</w:t>
      </w:r>
      <w:r>
        <w:rPr>
          <w:spacing w:val="-13"/>
          <w:w w:val="105"/>
        </w:rPr>
        <w:t> </w:t>
      </w:r>
      <w:r>
        <w:rPr>
          <w:w w:val="105"/>
        </w:rPr>
        <w:t>o</w:t>
      </w:r>
      <w:r>
        <w:rPr>
          <w:spacing w:val="-14"/>
          <w:w w:val="105"/>
        </w:rPr>
        <w:t> </w:t>
      </w:r>
      <w:r>
        <w:rPr>
          <w:w w:val="105"/>
        </w:rPr>
        <w:t>personali</w:t>
      </w:r>
      <w:r>
        <w:rPr>
          <w:spacing w:val="-13"/>
          <w:w w:val="105"/>
        </w:rPr>
        <w:t> </w:t>
      </w:r>
      <w:r>
        <w:rPr>
          <w:w w:val="105"/>
        </w:rPr>
        <w:t>su</w:t>
      </w:r>
      <w:r>
        <w:rPr>
          <w:spacing w:val="-14"/>
          <w:w w:val="105"/>
        </w:rPr>
        <w:t> </w:t>
      </w:r>
      <w:r>
        <w:rPr>
          <w:w w:val="105"/>
        </w:rPr>
        <w:t>beni</w:t>
      </w:r>
      <w:r>
        <w:rPr>
          <w:spacing w:val="-15"/>
          <w:w w:val="105"/>
        </w:rPr>
        <w:t> </w:t>
      </w:r>
      <w:r>
        <w:rPr>
          <w:w w:val="105"/>
        </w:rPr>
        <w:t>di</w:t>
      </w:r>
      <w:r>
        <w:rPr>
          <w:spacing w:val="-13"/>
          <w:w w:val="105"/>
        </w:rPr>
        <w:t> </w:t>
      </w:r>
      <w:r>
        <w:rPr>
          <w:w w:val="105"/>
        </w:rPr>
        <w:t>proprietà</w:t>
      </w:r>
      <w:r>
        <w:rPr>
          <w:spacing w:val="-13"/>
          <w:w w:val="105"/>
        </w:rPr>
        <w:t> </w:t>
      </w:r>
      <w:r>
        <w:rPr>
          <w:w w:val="105"/>
        </w:rPr>
        <w:t>o</w:t>
      </w:r>
      <w:r>
        <w:rPr>
          <w:spacing w:val="-13"/>
          <w:w w:val="105"/>
        </w:rPr>
        <w:t> </w:t>
      </w:r>
      <w:r>
        <w:rPr>
          <w:w w:val="105"/>
        </w:rPr>
        <w:t>in possesso</w:t>
      </w:r>
      <w:r>
        <w:rPr>
          <w:spacing w:val="-16"/>
          <w:w w:val="105"/>
        </w:rPr>
        <w:t> </w:t>
      </w:r>
      <w:r>
        <w:rPr>
          <w:w w:val="105"/>
        </w:rPr>
        <w:t>del</w:t>
      </w:r>
      <w:r>
        <w:rPr>
          <w:spacing w:val="-15"/>
          <w:w w:val="105"/>
        </w:rPr>
        <w:t> </w:t>
      </w:r>
      <w:r>
        <w:rPr>
          <w:w w:val="105"/>
        </w:rPr>
        <w:t>debitore</w:t>
      </w:r>
      <w:r>
        <w:rPr>
          <w:spacing w:val="-15"/>
          <w:w w:val="105"/>
        </w:rPr>
        <w:t> </w:t>
      </w:r>
      <w:r>
        <w:rPr>
          <w:w w:val="105"/>
        </w:rPr>
        <w:t>ex</w:t>
      </w:r>
      <w:r>
        <w:rPr>
          <w:spacing w:val="-15"/>
          <w:w w:val="105"/>
        </w:rPr>
        <w:t> </w:t>
      </w:r>
      <w:r>
        <w:rPr>
          <w:w w:val="105"/>
        </w:rPr>
        <w:t>art.</w:t>
      </w:r>
      <w:r>
        <w:rPr>
          <w:spacing w:val="-16"/>
          <w:w w:val="105"/>
        </w:rPr>
        <w:t> </w:t>
      </w:r>
      <w:r>
        <w:rPr>
          <w:w w:val="105"/>
        </w:rPr>
        <w:t>161</w:t>
      </w:r>
      <w:r>
        <w:rPr>
          <w:spacing w:val="-14"/>
          <w:w w:val="105"/>
        </w:rPr>
        <w:t> </w:t>
      </w:r>
      <w:r>
        <w:rPr>
          <w:w w:val="105"/>
        </w:rPr>
        <w:t>secondo</w:t>
      </w:r>
      <w:r>
        <w:rPr>
          <w:spacing w:val="-16"/>
          <w:w w:val="105"/>
        </w:rPr>
        <w:t> </w:t>
      </w:r>
      <w:r>
        <w:rPr>
          <w:w w:val="105"/>
        </w:rPr>
        <w:t>comma</w:t>
      </w:r>
      <w:r>
        <w:rPr>
          <w:spacing w:val="-15"/>
          <w:w w:val="105"/>
        </w:rPr>
        <w:t> </w:t>
      </w:r>
      <w:r>
        <w:rPr>
          <w:w w:val="105"/>
        </w:rPr>
        <w:t>lett.</w:t>
      </w:r>
      <w:r>
        <w:rPr>
          <w:spacing w:val="-15"/>
          <w:w w:val="105"/>
        </w:rPr>
        <w:t> </w:t>
      </w:r>
      <w:r>
        <w:rPr>
          <w:w w:val="105"/>
        </w:rPr>
        <w:t>d)</w:t>
      </w:r>
      <w:r>
        <w:rPr>
          <w:spacing w:val="-15"/>
          <w:w w:val="105"/>
        </w:rPr>
        <w:t> </w:t>
      </w:r>
      <w:r>
        <w:rPr>
          <w:w w:val="105"/>
        </w:rPr>
        <w:t>legge</w:t>
      </w:r>
      <w:r>
        <w:rPr>
          <w:spacing w:val="-15"/>
          <w:w w:val="105"/>
        </w:rPr>
        <w:t> </w:t>
      </w:r>
      <w:bookmarkEnd w:id="46"/>
      <w:r>
        <w:rPr>
          <w:w w:val="105"/>
        </w:rPr>
        <w:t>fall.</w:t>
      </w:r>
    </w:p>
    <w:tbl>
      <w:tblPr>
        <w:tblW w:w="0" w:type="auto"/>
        <w:jc w:val="left"/>
        <w:tblInd w:w="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85"/>
        <w:gridCol w:w="5947"/>
      </w:tblGrid>
      <w:tr>
        <w:trPr>
          <w:trHeight w:val="263" w:hRule="exact"/>
        </w:trPr>
        <w:tc>
          <w:tcPr>
            <w:tcW w:w="2785" w:type="dxa"/>
            <w:shd w:val="clear" w:color="auto" w:fill="A03033"/>
          </w:tcPr>
          <w:p>
            <w:pPr>
              <w:pStyle w:val="TableParagraph"/>
              <w:spacing w:line="246" w:lineRule="exact" w:before="0"/>
              <w:ind w:left="979" w:right="980"/>
              <w:jc w:val="center"/>
              <w:rPr>
                <w:rFonts w:ascii="Garamond"/>
                <w:b/>
                <w:sz w:val="22"/>
              </w:rPr>
            </w:pPr>
            <w:r>
              <w:rPr>
                <w:rFonts w:ascii="Garamond"/>
                <w:b/>
                <w:color w:val="FFFFFF"/>
                <w:w w:val="105"/>
                <w:sz w:val="22"/>
              </w:rPr>
              <w:t>Titolare</w:t>
            </w:r>
          </w:p>
        </w:tc>
        <w:tc>
          <w:tcPr>
            <w:tcW w:w="5947" w:type="dxa"/>
            <w:tcBorders>
              <w:right w:val="single" w:sz="3" w:space="0" w:color="000000"/>
            </w:tcBorders>
            <w:shd w:val="clear" w:color="auto" w:fill="A03033"/>
          </w:tcPr>
          <w:p>
            <w:pPr>
              <w:pStyle w:val="TableParagraph"/>
              <w:spacing w:line="246" w:lineRule="exact" w:before="0"/>
              <w:ind w:left="2621" w:right="2622"/>
              <w:jc w:val="center"/>
              <w:rPr>
                <w:rFonts w:ascii="Garamond"/>
                <w:b/>
                <w:sz w:val="22"/>
              </w:rPr>
            </w:pPr>
            <w:r>
              <w:rPr>
                <w:rFonts w:ascii="Garamond"/>
                <w:b/>
                <w:color w:val="FFFFFF"/>
                <w:w w:val="105"/>
                <w:sz w:val="22"/>
              </w:rPr>
              <w:t>Diritto</w:t>
            </w:r>
          </w:p>
        </w:tc>
      </w:tr>
      <w:tr>
        <w:trPr>
          <w:trHeight w:val="250" w:hRule="exact"/>
        </w:trPr>
        <w:tc>
          <w:tcPr>
            <w:tcW w:w="2785" w:type="dxa"/>
          </w:tcPr>
          <w:p>
            <w:pPr/>
          </w:p>
        </w:tc>
        <w:tc>
          <w:tcPr>
            <w:tcW w:w="5947" w:type="dxa"/>
            <w:tcBorders>
              <w:right w:val="single" w:sz="3" w:space="0" w:color="000000"/>
            </w:tcBorders>
          </w:tcPr>
          <w:p>
            <w:pPr/>
          </w:p>
        </w:tc>
      </w:tr>
      <w:tr>
        <w:trPr>
          <w:trHeight w:val="263" w:hRule="exact"/>
        </w:trPr>
        <w:tc>
          <w:tcPr>
            <w:tcW w:w="2785" w:type="dxa"/>
            <w:tcBorders>
              <w:bottom w:val="single" w:sz="3" w:space="0" w:color="000000"/>
            </w:tcBorders>
          </w:tcPr>
          <w:p>
            <w:pPr>
              <w:pStyle w:val="TableParagraph"/>
              <w:spacing w:line="245" w:lineRule="exact" w:before="0"/>
              <w:ind w:left="59"/>
              <w:rPr>
                <w:rFonts w:ascii="Garamond"/>
                <w:i/>
                <w:sz w:val="22"/>
              </w:rPr>
            </w:pPr>
            <w:r>
              <w:rPr>
                <w:rFonts w:ascii="Garamond"/>
                <w:sz w:val="22"/>
              </w:rPr>
              <w:t>Unicredit </w:t>
            </w:r>
            <w:r>
              <w:rPr>
                <w:rFonts w:ascii="Garamond"/>
                <w:i/>
                <w:sz w:val="22"/>
              </w:rPr>
              <w:t>Leasing</w:t>
            </w:r>
          </w:p>
        </w:tc>
        <w:tc>
          <w:tcPr>
            <w:tcW w:w="5947" w:type="dxa"/>
            <w:tcBorders>
              <w:bottom w:val="single" w:sz="3" w:space="0" w:color="000000"/>
              <w:right w:val="single" w:sz="3" w:space="0" w:color="000000"/>
            </w:tcBorders>
          </w:tcPr>
          <w:p>
            <w:pPr>
              <w:pStyle w:val="TableParagraph"/>
              <w:spacing w:line="245" w:lineRule="exact" w:before="0"/>
              <w:ind w:left="61"/>
              <w:rPr>
                <w:rFonts w:ascii="Garamond"/>
                <w:sz w:val="22"/>
              </w:rPr>
            </w:pPr>
            <w:r>
              <w:rPr>
                <w:rFonts w:ascii="Garamond"/>
                <w:w w:val="105"/>
                <w:sz w:val="22"/>
              </w:rPr>
              <w:t>fideiussione rilasciata da IBP nell'interesse di IBPE</w:t>
            </w:r>
          </w:p>
        </w:tc>
      </w:tr>
      <w:tr>
        <w:trPr>
          <w:trHeight w:val="263" w:hRule="exact"/>
        </w:trPr>
        <w:tc>
          <w:tcPr>
            <w:tcW w:w="2785" w:type="dxa"/>
            <w:tcBorders>
              <w:top w:val="single" w:sz="3" w:space="0" w:color="000000"/>
              <w:bottom w:val="single" w:sz="3" w:space="0" w:color="000000"/>
            </w:tcBorders>
          </w:tcPr>
          <w:p>
            <w:pPr>
              <w:pStyle w:val="TableParagraph"/>
              <w:spacing w:line="245" w:lineRule="exact" w:before="0"/>
              <w:ind w:left="59"/>
              <w:rPr>
                <w:rFonts w:ascii="Garamond"/>
                <w:sz w:val="22"/>
              </w:rPr>
            </w:pPr>
            <w:r>
              <w:rPr>
                <w:rFonts w:ascii="Garamond"/>
                <w:w w:val="105"/>
                <w:sz w:val="22"/>
              </w:rPr>
              <w:t>I.L.V.O. SRL</w:t>
            </w:r>
          </w:p>
        </w:tc>
        <w:tc>
          <w:tcPr>
            <w:tcW w:w="5947" w:type="dxa"/>
            <w:tcBorders>
              <w:top w:val="single" w:sz="3" w:space="0" w:color="000000"/>
              <w:bottom w:val="single" w:sz="3" w:space="0" w:color="000000"/>
              <w:right w:val="single" w:sz="3" w:space="0" w:color="000000"/>
            </w:tcBorders>
          </w:tcPr>
          <w:p>
            <w:pPr>
              <w:pStyle w:val="TableParagraph"/>
              <w:spacing w:line="245" w:lineRule="exact" w:before="0"/>
              <w:ind w:left="61"/>
              <w:rPr>
                <w:rFonts w:ascii="Garamond" w:hAnsi="Garamond"/>
                <w:sz w:val="22"/>
              </w:rPr>
            </w:pPr>
            <w:r>
              <w:rPr>
                <w:rFonts w:ascii="Garamond" w:hAnsi="Garamond"/>
                <w:w w:val="105"/>
                <w:sz w:val="22"/>
              </w:rPr>
              <w:t>proprietà del terreno concesso in locazione a IBP</w:t>
            </w:r>
          </w:p>
        </w:tc>
      </w:tr>
      <w:tr>
        <w:trPr>
          <w:trHeight w:val="264" w:hRule="exact"/>
        </w:trPr>
        <w:tc>
          <w:tcPr>
            <w:tcW w:w="2785" w:type="dxa"/>
            <w:tcBorders>
              <w:top w:val="single" w:sz="3" w:space="0" w:color="000000"/>
              <w:bottom w:val="single" w:sz="3" w:space="0" w:color="000000"/>
            </w:tcBorders>
          </w:tcPr>
          <w:p>
            <w:pPr>
              <w:pStyle w:val="TableParagraph"/>
              <w:spacing w:line="246" w:lineRule="exact" w:before="0"/>
              <w:ind w:left="59"/>
              <w:rPr>
                <w:rFonts w:ascii="Garamond"/>
                <w:sz w:val="22"/>
              </w:rPr>
            </w:pPr>
            <w:r>
              <w:rPr>
                <w:rFonts w:ascii="Garamond"/>
                <w:w w:val="105"/>
                <w:sz w:val="22"/>
              </w:rPr>
              <w:t>Mediocredito</w:t>
            </w:r>
          </w:p>
        </w:tc>
        <w:tc>
          <w:tcPr>
            <w:tcW w:w="5947" w:type="dxa"/>
            <w:tcBorders>
              <w:top w:val="single" w:sz="3" w:space="0" w:color="000000"/>
              <w:bottom w:val="single" w:sz="3" w:space="0" w:color="000000"/>
              <w:right w:val="single" w:sz="3" w:space="0" w:color="000000"/>
            </w:tcBorders>
          </w:tcPr>
          <w:p>
            <w:pPr>
              <w:pStyle w:val="TableParagraph"/>
              <w:spacing w:line="246" w:lineRule="exact" w:before="0"/>
              <w:ind w:left="61"/>
              <w:rPr>
                <w:rFonts w:ascii="Garamond"/>
                <w:sz w:val="22"/>
              </w:rPr>
            </w:pPr>
            <w:r>
              <w:rPr>
                <w:rFonts w:ascii="Garamond"/>
                <w:w w:val="105"/>
                <w:sz w:val="22"/>
              </w:rPr>
              <w:t>contratto di locazione finanziaria relativo a beni strumentali</w:t>
            </w:r>
          </w:p>
        </w:tc>
      </w:tr>
      <w:tr>
        <w:trPr>
          <w:trHeight w:val="248" w:hRule="exact"/>
        </w:trPr>
        <w:tc>
          <w:tcPr>
            <w:tcW w:w="2785" w:type="dxa"/>
            <w:tcBorders>
              <w:top w:val="single" w:sz="3" w:space="0" w:color="000000"/>
              <w:bottom w:val="single" w:sz="3" w:space="0" w:color="000000"/>
            </w:tcBorders>
          </w:tcPr>
          <w:p>
            <w:pPr/>
          </w:p>
        </w:tc>
        <w:tc>
          <w:tcPr>
            <w:tcW w:w="5947" w:type="dxa"/>
            <w:tcBorders>
              <w:top w:val="single" w:sz="3" w:space="0" w:color="000000"/>
              <w:bottom w:val="single" w:sz="3" w:space="0" w:color="000000"/>
              <w:right w:val="single" w:sz="3" w:space="0" w:color="000000"/>
            </w:tcBorders>
          </w:tcPr>
          <w:p>
            <w:pPr/>
          </w:p>
        </w:tc>
      </w:tr>
      <w:tr>
        <w:trPr>
          <w:trHeight w:val="265" w:hRule="exact"/>
        </w:trPr>
        <w:tc>
          <w:tcPr>
            <w:tcW w:w="2785" w:type="dxa"/>
            <w:tcBorders>
              <w:top w:val="single" w:sz="3" w:space="0" w:color="000000"/>
            </w:tcBorders>
          </w:tcPr>
          <w:p>
            <w:pPr>
              <w:pStyle w:val="TableParagraph"/>
              <w:spacing w:line="246" w:lineRule="exact" w:before="0"/>
              <w:ind w:left="59"/>
              <w:rPr>
                <w:rFonts w:ascii="Garamond"/>
                <w:sz w:val="22"/>
              </w:rPr>
            </w:pPr>
            <w:r>
              <w:rPr>
                <w:rFonts w:ascii="Garamond"/>
                <w:w w:val="105"/>
                <w:sz w:val="22"/>
              </w:rPr>
              <w:t>Prit &amp; Byolife</w:t>
            </w:r>
          </w:p>
        </w:tc>
        <w:tc>
          <w:tcPr>
            <w:tcW w:w="5947" w:type="dxa"/>
            <w:tcBorders>
              <w:top w:val="single" w:sz="3" w:space="0" w:color="000000"/>
              <w:right w:val="single" w:sz="3" w:space="0" w:color="000000"/>
            </w:tcBorders>
          </w:tcPr>
          <w:p>
            <w:pPr>
              <w:pStyle w:val="TableParagraph"/>
              <w:spacing w:line="246" w:lineRule="exact" w:before="0"/>
              <w:ind w:left="60"/>
              <w:rPr>
                <w:rFonts w:ascii="Garamond"/>
                <w:sz w:val="22"/>
              </w:rPr>
            </w:pPr>
            <w:r>
              <w:rPr>
                <w:rFonts w:ascii="Garamond"/>
                <w:w w:val="105"/>
                <w:sz w:val="22"/>
              </w:rPr>
              <w:t>Beni in comodato d'uso gratuito presso IBP</w:t>
            </w:r>
          </w:p>
        </w:tc>
      </w:tr>
      <w:tr>
        <w:trPr>
          <w:trHeight w:val="263" w:hRule="exact"/>
        </w:trPr>
        <w:tc>
          <w:tcPr>
            <w:tcW w:w="2785" w:type="dxa"/>
          </w:tcPr>
          <w:p>
            <w:pPr>
              <w:pStyle w:val="TableParagraph"/>
              <w:spacing w:line="244" w:lineRule="exact" w:before="0"/>
              <w:ind w:left="59"/>
              <w:rPr>
                <w:rFonts w:ascii="Garamond"/>
                <w:sz w:val="22"/>
              </w:rPr>
            </w:pPr>
            <w:r>
              <w:rPr>
                <w:rFonts w:ascii="Garamond"/>
                <w:w w:val="105"/>
                <w:sz w:val="22"/>
              </w:rPr>
              <w:t>Impianto Pilota "Proesa"</w:t>
            </w:r>
          </w:p>
        </w:tc>
        <w:tc>
          <w:tcPr>
            <w:tcW w:w="5947" w:type="dxa"/>
            <w:tcBorders>
              <w:right w:val="single" w:sz="3" w:space="0" w:color="000000"/>
            </w:tcBorders>
          </w:tcPr>
          <w:p>
            <w:pPr>
              <w:pStyle w:val="TableParagraph"/>
              <w:spacing w:line="244" w:lineRule="exact" w:before="0"/>
              <w:ind w:left="59"/>
              <w:rPr>
                <w:rFonts w:ascii="Garamond"/>
                <w:sz w:val="22"/>
              </w:rPr>
            </w:pPr>
            <w:r>
              <w:rPr>
                <w:rFonts w:ascii="Garamond"/>
                <w:w w:val="105"/>
                <w:sz w:val="22"/>
              </w:rPr>
              <w:t>Beni in comodato d'uso gratuito da Beta Renewables</w:t>
            </w:r>
          </w:p>
        </w:tc>
      </w:tr>
      <w:tr>
        <w:trPr>
          <w:trHeight w:val="263" w:hRule="exact"/>
        </w:trPr>
        <w:tc>
          <w:tcPr>
            <w:tcW w:w="2785" w:type="dxa"/>
          </w:tcPr>
          <w:p>
            <w:pPr>
              <w:pStyle w:val="TableParagraph"/>
              <w:spacing w:line="245" w:lineRule="exact" w:before="0"/>
              <w:ind w:left="59"/>
              <w:rPr>
                <w:rFonts w:ascii="Garamond"/>
                <w:sz w:val="22"/>
              </w:rPr>
            </w:pPr>
            <w:r>
              <w:rPr>
                <w:rFonts w:ascii="Garamond"/>
                <w:w w:val="105"/>
                <w:sz w:val="22"/>
              </w:rPr>
              <w:t>Carime</w:t>
            </w:r>
          </w:p>
        </w:tc>
        <w:tc>
          <w:tcPr>
            <w:tcW w:w="5947" w:type="dxa"/>
            <w:tcBorders>
              <w:right w:val="single" w:sz="3" w:space="0" w:color="000000"/>
            </w:tcBorders>
          </w:tcPr>
          <w:p>
            <w:pPr>
              <w:pStyle w:val="TableParagraph"/>
              <w:spacing w:line="245" w:lineRule="exact" w:before="0"/>
              <w:ind w:left="61"/>
              <w:rPr>
                <w:rFonts w:ascii="Garamond"/>
                <w:sz w:val="22"/>
              </w:rPr>
            </w:pPr>
            <w:r>
              <w:rPr>
                <w:rFonts w:ascii="Garamond"/>
                <w:w w:val="105"/>
                <w:sz w:val="22"/>
              </w:rPr>
              <w:t>Ipoteca su immobile di Modugno (Ba)</w:t>
            </w:r>
          </w:p>
        </w:tc>
      </w:tr>
      <w:tr>
        <w:trPr>
          <w:trHeight w:val="265" w:hRule="exact"/>
        </w:trPr>
        <w:tc>
          <w:tcPr>
            <w:tcW w:w="2785" w:type="dxa"/>
            <w:tcBorders>
              <w:bottom w:val="single" w:sz="3" w:space="0" w:color="000000"/>
            </w:tcBorders>
          </w:tcPr>
          <w:p>
            <w:pPr>
              <w:pStyle w:val="TableParagraph"/>
              <w:spacing w:line="246" w:lineRule="exact" w:before="0"/>
              <w:ind w:left="59"/>
              <w:rPr>
                <w:rFonts w:ascii="Garamond"/>
                <w:sz w:val="22"/>
              </w:rPr>
            </w:pPr>
            <w:r>
              <w:rPr>
                <w:rFonts w:ascii="Garamond"/>
                <w:w w:val="105"/>
                <w:sz w:val="22"/>
              </w:rPr>
              <w:t>Proplast</w:t>
            </w:r>
          </w:p>
        </w:tc>
        <w:tc>
          <w:tcPr>
            <w:tcW w:w="5947" w:type="dxa"/>
            <w:tcBorders>
              <w:bottom w:val="single" w:sz="3" w:space="0" w:color="000000"/>
              <w:right w:val="single" w:sz="3" w:space="0" w:color="000000"/>
            </w:tcBorders>
          </w:tcPr>
          <w:p>
            <w:pPr>
              <w:pStyle w:val="TableParagraph"/>
              <w:spacing w:line="246" w:lineRule="exact" w:before="0"/>
              <w:ind w:left="61"/>
              <w:rPr>
                <w:rFonts w:ascii="Garamond"/>
                <w:sz w:val="22"/>
              </w:rPr>
            </w:pPr>
            <w:r>
              <w:rPr>
                <w:rFonts w:ascii="Garamond"/>
                <w:w w:val="105"/>
                <w:sz w:val="22"/>
              </w:rPr>
              <w:t>Beni in locazione presso terzi</w:t>
            </w:r>
          </w:p>
        </w:tc>
      </w:tr>
      <w:tr>
        <w:trPr>
          <w:trHeight w:val="250" w:hRule="exact"/>
        </w:trPr>
        <w:tc>
          <w:tcPr>
            <w:tcW w:w="2785" w:type="dxa"/>
            <w:tcBorders>
              <w:top w:val="single" w:sz="3" w:space="0" w:color="000000"/>
              <w:bottom w:val="single" w:sz="3" w:space="0" w:color="000000"/>
            </w:tcBorders>
          </w:tcPr>
          <w:p>
            <w:pPr/>
          </w:p>
        </w:tc>
        <w:tc>
          <w:tcPr>
            <w:tcW w:w="5947" w:type="dxa"/>
            <w:tcBorders>
              <w:top w:val="single" w:sz="3" w:space="0" w:color="000000"/>
              <w:bottom w:val="single" w:sz="3" w:space="0" w:color="000000"/>
              <w:right w:val="single" w:sz="3" w:space="0" w:color="000000"/>
            </w:tcBorders>
          </w:tcPr>
          <w:p>
            <w:pPr/>
          </w:p>
        </w:tc>
      </w:tr>
      <w:tr>
        <w:trPr>
          <w:trHeight w:val="263" w:hRule="exact"/>
        </w:trPr>
        <w:tc>
          <w:tcPr>
            <w:tcW w:w="2785" w:type="dxa"/>
            <w:tcBorders>
              <w:top w:val="single" w:sz="3" w:space="0" w:color="000000"/>
              <w:bottom w:val="single" w:sz="3" w:space="0" w:color="000000"/>
            </w:tcBorders>
          </w:tcPr>
          <w:p>
            <w:pPr>
              <w:pStyle w:val="TableParagraph"/>
              <w:spacing w:line="245" w:lineRule="exact" w:before="0"/>
              <w:ind w:left="59"/>
              <w:rPr>
                <w:rFonts w:ascii="Garamond"/>
                <w:sz w:val="22"/>
              </w:rPr>
            </w:pPr>
            <w:r>
              <w:rPr>
                <w:rFonts w:ascii="Garamond"/>
                <w:w w:val="105"/>
                <w:sz w:val="22"/>
              </w:rPr>
              <w:t>Arval Service Lease Italia Spa</w:t>
            </w:r>
          </w:p>
        </w:tc>
        <w:tc>
          <w:tcPr>
            <w:tcW w:w="5947" w:type="dxa"/>
            <w:tcBorders>
              <w:top w:val="single" w:sz="3" w:space="0" w:color="000000"/>
              <w:bottom w:val="single" w:sz="3" w:space="0" w:color="000000"/>
              <w:right w:val="single" w:sz="3" w:space="0" w:color="000000"/>
            </w:tcBorders>
          </w:tcPr>
          <w:p>
            <w:pPr>
              <w:pStyle w:val="TableParagraph"/>
              <w:spacing w:line="245" w:lineRule="exact" w:before="0"/>
              <w:ind w:left="60"/>
              <w:rPr>
                <w:rFonts w:ascii="Garamond"/>
                <w:sz w:val="22"/>
              </w:rPr>
            </w:pPr>
            <w:r>
              <w:rPr>
                <w:rFonts w:ascii="Garamond"/>
                <w:w w:val="105"/>
                <w:sz w:val="22"/>
              </w:rPr>
              <w:t>beni strumentali in locazione operativa</w:t>
            </w:r>
          </w:p>
        </w:tc>
      </w:tr>
      <w:tr>
        <w:trPr>
          <w:trHeight w:val="292" w:hRule="exact"/>
        </w:trPr>
        <w:tc>
          <w:tcPr>
            <w:tcW w:w="2785" w:type="dxa"/>
            <w:tcBorders>
              <w:top w:val="single" w:sz="3" w:space="0" w:color="000000"/>
              <w:bottom w:val="single" w:sz="3" w:space="0" w:color="000000"/>
            </w:tcBorders>
          </w:tcPr>
          <w:p>
            <w:pPr/>
          </w:p>
        </w:tc>
        <w:tc>
          <w:tcPr>
            <w:tcW w:w="5947" w:type="dxa"/>
            <w:tcBorders>
              <w:top w:val="single" w:sz="3" w:space="0" w:color="000000"/>
              <w:bottom w:val="single" w:sz="3" w:space="0" w:color="000000"/>
              <w:right w:val="single" w:sz="3" w:space="0" w:color="000000"/>
            </w:tcBorders>
          </w:tcPr>
          <w:p>
            <w:pPr>
              <w:pStyle w:val="TableParagraph"/>
              <w:spacing w:before="26"/>
              <w:ind w:left="61"/>
              <w:rPr>
                <w:rFonts w:ascii="Garamond"/>
                <w:sz w:val="22"/>
              </w:rPr>
            </w:pPr>
            <w:r>
              <w:rPr>
                <w:rFonts w:ascii="Garamond"/>
                <w:w w:val="105"/>
                <w:sz w:val="22"/>
              </w:rPr>
              <w:t>EN619ZP - Citroen</w:t>
            </w:r>
          </w:p>
        </w:tc>
      </w:tr>
      <w:tr>
        <w:trPr>
          <w:trHeight w:val="292" w:hRule="exact"/>
        </w:trPr>
        <w:tc>
          <w:tcPr>
            <w:tcW w:w="2785" w:type="dxa"/>
            <w:tcBorders>
              <w:top w:val="single" w:sz="3" w:space="0" w:color="000000"/>
            </w:tcBorders>
          </w:tcPr>
          <w:p>
            <w:pPr/>
          </w:p>
        </w:tc>
        <w:tc>
          <w:tcPr>
            <w:tcW w:w="5947" w:type="dxa"/>
            <w:tcBorders>
              <w:top w:val="single" w:sz="3" w:space="0" w:color="000000"/>
              <w:right w:val="single" w:sz="3" w:space="0" w:color="000000"/>
            </w:tcBorders>
          </w:tcPr>
          <w:p>
            <w:pPr>
              <w:pStyle w:val="TableParagraph"/>
              <w:spacing w:before="26"/>
              <w:ind w:left="61"/>
              <w:rPr>
                <w:rFonts w:ascii="Garamond"/>
                <w:sz w:val="22"/>
              </w:rPr>
            </w:pPr>
            <w:r>
              <w:rPr>
                <w:rFonts w:ascii="Garamond"/>
                <w:w w:val="105"/>
                <w:sz w:val="22"/>
              </w:rPr>
              <w:t>EN522ZR - Hyundai</w:t>
            </w:r>
          </w:p>
        </w:tc>
      </w:tr>
      <w:tr>
        <w:trPr>
          <w:trHeight w:val="291" w:hRule="exact"/>
        </w:trPr>
        <w:tc>
          <w:tcPr>
            <w:tcW w:w="2785" w:type="dxa"/>
            <w:tcBorders>
              <w:bottom w:val="single" w:sz="3" w:space="0" w:color="000000"/>
            </w:tcBorders>
          </w:tcPr>
          <w:p>
            <w:pPr/>
          </w:p>
        </w:tc>
        <w:tc>
          <w:tcPr>
            <w:tcW w:w="5947" w:type="dxa"/>
            <w:tcBorders>
              <w:bottom w:val="single" w:sz="3" w:space="0" w:color="000000"/>
              <w:right w:val="single" w:sz="3" w:space="0" w:color="000000"/>
            </w:tcBorders>
          </w:tcPr>
          <w:p>
            <w:pPr>
              <w:pStyle w:val="TableParagraph"/>
              <w:spacing w:before="25"/>
              <w:ind w:left="61"/>
              <w:rPr>
                <w:rFonts w:ascii="Garamond"/>
                <w:sz w:val="22"/>
              </w:rPr>
            </w:pPr>
            <w:r>
              <w:rPr>
                <w:rFonts w:ascii="Garamond"/>
                <w:w w:val="105"/>
                <w:sz w:val="22"/>
              </w:rPr>
              <w:t>EV471RT - Mercedes-Benz</w:t>
            </w:r>
          </w:p>
        </w:tc>
      </w:tr>
      <w:tr>
        <w:trPr>
          <w:trHeight w:val="292" w:hRule="exact"/>
        </w:trPr>
        <w:tc>
          <w:tcPr>
            <w:tcW w:w="2785" w:type="dxa"/>
            <w:tcBorders>
              <w:top w:val="single" w:sz="3" w:space="0" w:color="000000"/>
              <w:bottom w:val="single" w:sz="3" w:space="0" w:color="000000"/>
            </w:tcBorders>
          </w:tcPr>
          <w:p>
            <w:pPr/>
          </w:p>
        </w:tc>
        <w:tc>
          <w:tcPr>
            <w:tcW w:w="5947" w:type="dxa"/>
            <w:tcBorders>
              <w:top w:val="single" w:sz="3" w:space="0" w:color="000000"/>
              <w:bottom w:val="single" w:sz="3" w:space="0" w:color="000000"/>
              <w:right w:val="single" w:sz="3" w:space="0" w:color="000000"/>
            </w:tcBorders>
          </w:tcPr>
          <w:p>
            <w:pPr>
              <w:pStyle w:val="TableParagraph"/>
              <w:spacing w:before="26"/>
              <w:ind w:left="61"/>
              <w:rPr>
                <w:rFonts w:ascii="Garamond"/>
                <w:sz w:val="22"/>
              </w:rPr>
            </w:pPr>
            <w:r>
              <w:rPr>
                <w:rFonts w:ascii="Garamond"/>
                <w:w w:val="105"/>
                <w:sz w:val="22"/>
              </w:rPr>
              <w:t>FK133FE - Mercedes - Benz</w:t>
            </w:r>
          </w:p>
        </w:tc>
      </w:tr>
      <w:tr>
        <w:trPr>
          <w:trHeight w:val="292" w:hRule="exact"/>
        </w:trPr>
        <w:tc>
          <w:tcPr>
            <w:tcW w:w="2785" w:type="dxa"/>
            <w:tcBorders>
              <w:top w:val="single" w:sz="3" w:space="0" w:color="000000"/>
            </w:tcBorders>
          </w:tcPr>
          <w:p>
            <w:pPr/>
          </w:p>
        </w:tc>
        <w:tc>
          <w:tcPr>
            <w:tcW w:w="5947" w:type="dxa"/>
            <w:tcBorders>
              <w:top w:val="single" w:sz="3" w:space="0" w:color="000000"/>
              <w:right w:val="single" w:sz="3" w:space="0" w:color="000000"/>
            </w:tcBorders>
          </w:tcPr>
          <w:p>
            <w:pPr/>
          </w:p>
        </w:tc>
      </w:tr>
      <w:tr>
        <w:trPr>
          <w:trHeight w:val="292" w:hRule="exact"/>
        </w:trPr>
        <w:tc>
          <w:tcPr>
            <w:tcW w:w="2785" w:type="dxa"/>
          </w:tcPr>
          <w:p>
            <w:pPr>
              <w:pStyle w:val="TableParagraph"/>
              <w:ind w:left="59"/>
              <w:rPr>
                <w:rFonts w:ascii="Garamond"/>
                <w:sz w:val="22"/>
              </w:rPr>
            </w:pPr>
            <w:r>
              <w:rPr>
                <w:rFonts w:ascii="Garamond"/>
                <w:w w:val="105"/>
                <w:sz w:val="22"/>
              </w:rPr>
              <w:t>ALD Automotive Italia S.r.l.</w:t>
            </w:r>
          </w:p>
        </w:tc>
        <w:tc>
          <w:tcPr>
            <w:tcW w:w="5947" w:type="dxa"/>
            <w:tcBorders>
              <w:right w:val="single" w:sz="3" w:space="0" w:color="000000"/>
            </w:tcBorders>
          </w:tcPr>
          <w:p>
            <w:pPr>
              <w:pStyle w:val="TableParagraph"/>
              <w:ind w:left="61"/>
              <w:rPr>
                <w:rFonts w:ascii="Garamond"/>
                <w:sz w:val="22"/>
              </w:rPr>
            </w:pPr>
            <w:r>
              <w:rPr>
                <w:rFonts w:ascii="Garamond"/>
                <w:w w:val="105"/>
                <w:sz w:val="22"/>
              </w:rPr>
              <w:t>beni strumentali in locazione operativa</w:t>
            </w:r>
          </w:p>
        </w:tc>
      </w:tr>
      <w:tr>
        <w:trPr>
          <w:trHeight w:val="291" w:hRule="exact"/>
        </w:trPr>
        <w:tc>
          <w:tcPr>
            <w:tcW w:w="2785" w:type="dxa"/>
            <w:tcBorders>
              <w:bottom w:val="single" w:sz="3" w:space="0" w:color="000000"/>
            </w:tcBorders>
          </w:tcPr>
          <w:p>
            <w:pPr/>
          </w:p>
        </w:tc>
        <w:tc>
          <w:tcPr>
            <w:tcW w:w="5947" w:type="dxa"/>
            <w:tcBorders>
              <w:bottom w:val="single" w:sz="3" w:space="0" w:color="000000"/>
              <w:right w:val="single" w:sz="3" w:space="0" w:color="000000"/>
            </w:tcBorders>
          </w:tcPr>
          <w:p>
            <w:pPr>
              <w:pStyle w:val="TableParagraph"/>
              <w:spacing w:before="25"/>
              <w:ind w:left="61"/>
              <w:rPr>
                <w:rFonts w:ascii="Garamond"/>
                <w:sz w:val="22"/>
              </w:rPr>
            </w:pPr>
            <w:r>
              <w:rPr>
                <w:rFonts w:ascii="Garamond"/>
                <w:w w:val="105"/>
                <w:sz w:val="22"/>
              </w:rPr>
              <w:t>EW598TA - BMW</w:t>
            </w:r>
          </w:p>
        </w:tc>
      </w:tr>
      <w:tr>
        <w:trPr>
          <w:trHeight w:val="292" w:hRule="exact"/>
        </w:trPr>
        <w:tc>
          <w:tcPr>
            <w:tcW w:w="2785" w:type="dxa"/>
            <w:tcBorders>
              <w:top w:val="single" w:sz="3" w:space="0" w:color="000000"/>
            </w:tcBorders>
          </w:tcPr>
          <w:p>
            <w:pPr/>
          </w:p>
        </w:tc>
        <w:tc>
          <w:tcPr>
            <w:tcW w:w="5947" w:type="dxa"/>
            <w:tcBorders>
              <w:top w:val="single" w:sz="3" w:space="0" w:color="000000"/>
              <w:right w:val="single" w:sz="3" w:space="0" w:color="000000"/>
            </w:tcBorders>
          </w:tcPr>
          <w:p>
            <w:pPr>
              <w:pStyle w:val="TableParagraph"/>
              <w:spacing w:before="27"/>
              <w:ind w:left="61"/>
              <w:rPr>
                <w:rFonts w:ascii="Garamond"/>
                <w:sz w:val="22"/>
              </w:rPr>
            </w:pPr>
            <w:r>
              <w:rPr>
                <w:rFonts w:ascii="Garamond"/>
                <w:w w:val="105"/>
                <w:sz w:val="22"/>
              </w:rPr>
              <w:t>EW561KX - Audi</w:t>
            </w:r>
          </w:p>
        </w:tc>
      </w:tr>
      <w:tr>
        <w:trPr>
          <w:trHeight w:val="263" w:hRule="exact"/>
        </w:trPr>
        <w:tc>
          <w:tcPr>
            <w:tcW w:w="2785" w:type="dxa"/>
            <w:tcBorders>
              <w:bottom w:val="single" w:sz="3" w:space="0" w:color="000000"/>
            </w:tcBorders>
          </w:tcPr>
          <w:p>
            <w:pPr/>
          </w:p>
        </w:tc>
        <w:tc>
          <w:tcPr>
            <w:tcW w:w="5947" w:type="dxa"/>
            <w:tcBorders>
              <w:bottom w:val="single" w:sz="3" w:space="0" w:color="000000"/>
              <w:right w:val="single" w:sz="3" w:space="0" w:color="000000"/>
            </w:tcBorders>
          </w:tcPr>
          <w:p>
            <w:pPr>
              <w:pStyle w:val="TableParagraph"/>
              <w:spacing w:line="245" w:lineRule="exact" w:before="0"/>
              <w:ind w:left="61"/>
              <w:rPr>
                <w:rFonts w:ascii="Garamond"/>
                <w:sz w:val="22"/>
              </w:rPr>
            </w:pPr>
            <w:r>
              <w:rPr>
                <w:rFonts w:ascii="Garamond"/>
                <w:w w:val="105"/>
                <w:sz w:val="22"/>
              </w:rPr>
              <w:t>EZ525ZL - BMW</w:t>
            </w:r>
          </w:p>
        </w:tc>
      </w:tr>
      <w:tr>
        <w:trPr>
          <w:trHeight w:val="263" w:hRule="exact"/>
        </w:trPr>
        <w:tc>
          <w:tcPr>
            <w:tcW w:w="2785" w:type="dxa"/>
            <w:tcBorders>
              <w:top w:val="single" w:sz="3" w:space="0" w:color="000000"/>
              <w:bottom w:val="single" w:sz="3" w:space="0" w:color="000000"/>
            </w:tcBorders>
          </w:tcPr>
          <w:p>
            <w:pPr/>
          </w:p>
        </w:tc>
        <w:tc>
          <w:tcPr>
            <w:tcW w:w="5947" w:type="dxa"/>
            <w:tcBorders>
              <w:top w:val="single" w:sz="3" w:space="0" w:color="000000"/>
              <w:bottom w:val="single" w:sz="3" w:space="0" w:color="000000"/>
              <w:right w:val="single" w:sz="3" w:space="0" w:color="000000"/>
            </w:tcBorders>
          </w:tcPr>
          <w:p>
            <w:pPr>
              <w:pStyle w:val="TableParagraph"/>
              <w:spacing w:line="245" w:lineRule="exact" w:before="0"/>
              <w:ind w:left="61"/>
              <w:rPr>
                <w:rFonts w:ascii="Garamond"/>
                <w:sz w:val="22"/>
              </w:rPr>
            </w:pPr>
            <w:r>
              <w:rPr>
                <w:rFonts w:ascii="Garamond"/>
                <w:w w:val="105"/>
                <w:sz w:val="22"/>
              </w:rPr>
              <w:t>FA238FT - Land Rower</w:t>
            </w:r>
          </w:p>
        </w:tc>
      </w:tr>
      <w:tr>
        <w:trPr>
          <w:trHeight w:val="250" w:hRule="exact"/>
        </w:trPr>
        <w:tc>
          <w:tcPr>
            <w:tcW w:w="2785" w:type="dxa"/>
            <w:tcBorders>
              <w:top w:val="single" w:sz="3" w:space="0" w:color="000000"/>
              <w:bottom w:val="single" w:sz="3" w:space="0" w:color="000000"/>
            </w:tcBorders>
          </w:tcPr>
          <w:p>
            <w:pPr/>
          </w:p>
        </w:tc>
        <w:tc>
          <w:tcPr>
            <w:tcW w:w="5947" w:type="dxa"/>
            <w:tcBorders>
              <w:top w:val="single" w:sz="3" w:space="0" w:color="000000"/>
              <w:bottom w:val="single" w:sz="3" w:space="0" w:color="000000"/>
              <w:right w:val="single" w:sz="3" w:space="0" w:color="000000"/>
            </w:tcBorders>
          </w:tcPr>
          <w:p>
            <w:pPr/>
          </w:p>
        </w:tc>
      </w:tr>
      <w:tr>
        <w:trPr>
          <w:trHeight w:val="263" w:hRule="exact"/>
        </w:trPr>
        <w:tc>
          <w:tcPr>
            <w:tcW w:w="2785" w:type="dxa"/>
            <w:tcBorders>
              <w:top w:val="single" w:sz="3" w:space="0" w:color="000000"/>
            </w:tcBorders>
          </w:tcPr>
          <w:p>
            <w:pPr>
              <w:pStyle w:val="TableParagraph"/>
              <w:spacing w:line="245" w:lineRule="exact" w:before="0"/>
              <w:ind w:left="59"/>
              <w:rPr>
                <w:rFonts w:ascii="Garamond"/>
                <w:sz w:val="22"/>
              </w:rPr>
            </w:pPr>
            <w:r>
              <w:rPr>
                <w:rFonts w:ascii="Garamond"/>
                <w:w w:val="105"/>
                <w:sz w:val="22"/>
              </w:rPr>
              <w:t>Creval</w:t>
            </w:r>
          </w:p>
        </w:tc>
        <w:tc>
          <w:tcPr>
            <w:tcW w:w="5947" w:type="dxa"/>
            <w:tcBorders>
              <w:top w:val="single" w:sz="3" w:space="0" w:color="000000"/>
              <w:right w:val="single" w:sz="3" w:space="0" w:color="000000"/>
            </w:tcBorders>
          </w:tcPr>
          <w:p>
            <w:pPr>
              <w:pStyle w:val="TableParagraph"/>
              <w:spacing w:line="245" w:lineRule="exact" w:before="0"/>
              <w:ind w:left="61"/>
              <w:rPr>
                <w:rFonts w:ascii="Garamond"/>
                <w:sz w:val="22"/>
              </w:rPr>
            </w:pPr>
            <w:r>
              <w:rPr>
                <w:rFonts w:ascii="Garamond"/>
                <w:w w:val="105"/>
                <w:sz w:val="22"/>
              </w:rPr>
              <w:t>Garanzia prestata a favore di Mediocredito per beni presso IBP</w:t>
            </w:r>
          </w:p>
        </w:tc>
      </w:tr>
      <w:tr>
        <w:trPr>
          <w:trHeight w:val="264" w:hRule="exact"/>
        </w:trPr>
        <w:tc>
          <w:tcPr>
            <w:tcW w:w="2785" w:type="dxa"/>
          </w:tcPr>
          <w:p>
            <w:pPr>
              <w:pStyle w:val="TableParagraph"/>
              <w:spacing w:line="245" w:lineRule="exact" w:before="0"/>
              <w:ind w:left="59"/>
              <w:rPr>
                <w:rFonts w:ascii="Garamond"/>
                <w:sz w:val="22"/>
              </w:rPr>
            </w:pPr>
            <w:r>
              <w:rPr>
                <w:rFonts w:ascii="Garamond"/>
                <w:w w:val="105"/>
                <w:sz w:val="22"/>
              </w:rPr>
              <w:t>Creval</w:t>
            </w:r>
          </w:p>
        </w:tc>
        <w:tc>
          <w:tcPr>
            <w:tcW w:w="5947" w:type="dxa"/>
            <w:tcBorders>
              <w:right w:val="single" w:sz="3" w:space="0" w:color="000000"/>
            </w:tcBorders>
          </w:tcPr>
          <w:p>
            <w:pPr>
              <w:pStyle w:val="TableParagraph"/>
              <w:spacing w:line="245" w:lineRule="exact" w:before="0"/>
              <w:ind w:left="61"/>
              <w:rPr>
                <w:rFonts w:ascii="Garamond"/>
                <w:sz w:val="22"/>
              </w:rPr>
            </w:pPr>
            <w:r>
              <w:rPr>
                <w:rFonts w:ascii="Garamond"/>
                <w:w w:val="105"/>
                <w:sz w:val="22"/>
              </w:rPr>
              <w:t>Garanzia prestata a favore di Alba Leasing per beni presso IBP</w:t>
            </w:r>
          </w:p>
        </w:tc>
      </w:tr>
    </w:tbl>
    <w:p>
      <w:pPr>
        <w:spacing w:after="0" w:line="245" w:lineRule="exact"/>
        <w:rPr>
          <w:rFonts w:ascii="Garamond"/>
          <w:sz w:val="22"/>
        </w:rPr>
        <w:sectPr>
          <w:pgSz w:w="12240" w:h="15840"/>
          <w:pgMar w:header="0" w:footer="790" w:top="1500" w:bottom="980" w:left="1720" w:right="1200"/>
        </w:sectPr>
      </w:pPr>
    </w:p>
    <w:p>
      <w:pPr>
        <w:pStyle w:val="BodyText"/>
        <w:spacing w:before="7"/>
        <w:rPr>
          <w:b/>
          <w:sz w:val="16"/>
        </w:rPr>
      </w:pPr>
    </w:p>
    <w:p>
      <w:pPr>
        <w:pStyle w:val="Heading2"/>
        <w:spacing w:before="106"/>
        <w:ind w:right="1737"/>
      </w:pPr>
      <w:bookmarkStart w:name="_TOC_250005" w:id="47"/>
      <w:bookmarkEnd w:id="47"/>
      <w:r>
        <w:rPr>
          <w:w w:val="105"/>
        </w:rPr>
        <w:t>CAPITOLO 12</w:t>
      </w:r>
    </w:p>
    <w:p>
      <w:pPr>
        <w:pStyle w:val="BodyText"/>
        <w:spacing w:before="2"/>
        <w:rPr>
          <w:b/>
          <w:sz w:val="23"/>
        </w:rPr>
      </w:pPr>
    </w:p>
    <w:p>
      <w:pPr>
        <w:pStyle w:val="Heading2"/>
        <w:ind w:right="1738"/>
      </w:pPr>
      <w:bookmarkStart w:name="_TOC_250004" w:id="48"/>
      <w:bookmarkEnd w:id="48"/>
      <w:r>
        <w:rPr>
          <w:w w:val="105"/>
        </w:rPr>
        <w:t>Istanze di autorizzazione</w:t>
      </w:r>
    </w:p>
    <w:p>
      <w:pPr>
        <w:pStyle w:val="BodyText"/>
        <w:rPr>
          <w:b/>
          <w:sz w:val="24"/>
        </w:rPr>
      </w:pPr>
    </w:p>
    <w:p>
      <w:pPr>
        <w:pStyle w:val="BodyText"/>
        <w:spacing w:before="179"/>
        <w:ind w:left="400"/>
      </w:pPr>
      <w:r>
        <w:rPr>
          <w:w w:val="105"/>
        </w:rPr>
        <w:t>Si fa istanza affinché codesto Illustrissimo Tribunale renda autorizzazione:</w:t>
      </w:r>
    </w:p>
    <w:p>
      <w:pPr>
        <w:pStyle w:val="BodyText"/>
        <w:spacing w:before="2"/>
        <w:rPr>
          <w:sz w:val="23"/>
        </w:rPr>
      </w:pPr>
    </w:p>
    <w:p>
      <w:pPr>
        <w:pStyle w:val="ListParagraph"/>
        <w:numPr>
          <w:ilvl w:val="0"/>
          <w:numId w:val="34"/>
        </w:numPr>
        <w:tabs>
          <w:tab w:pos="1079" w:val="left" w:leader="none"/>
        </w:tabs>
        <w:spacing w:line="463" w:lineRule="auto" w:before="0" w:after="0"/>
        <w:ind w:left="1078" w:right="2197" w:hanging="340"/>
        <w:jc w:val="both"/>
        <w:rPr>
          <w:sz w:val="22"/>
        </w:rPr>
      </w:pPr>
      <w:r>
        <w:rPr>
          <w:w w:val="105"/>
          <w:sz w:val="22"/>
        </w:rPr>
        <w:t>ai sensi e per gli effetti dell’art. 167, secondo comma, legge fall., per rendere</w:t>
      </w:r>
      <w:r>
        <w:rPr>
          <w:spacing w:val="-22"/>
          <w:w w:val="105"/>
          <w:sz w:val="22"/>
        </w:rPr>
        <w:t> </w:t>
      </w:r>
      <w:r>
        <w:rPr>
          <w:w w:val="105"/>
          <w:sz w:val="22"/>
        </w:rPr>
        <w:t>efficace</w:t>
      </w:r>
      <w:r>
        <w:rPr>
          <w:spacing w:val="-23"/>
          <w:w w:val="105"/>
          <w:sz w:val="22"/>
        </w:rPr>
        <w:t> </w:t>
      </w:r>
      <w:r>
        <w:rPr>
          <w:w w:val="105"/>
          <w:sz w:val="22"/>
        </w:rPr>
        <w:t>la</w:t>
      </w:r>
      <w:r>
        <w:rPr>
          <w:spacing w:val="-23"/>
          <w:w w:val="105"/>
          <w:sz w:val="22"/>
        </w:rPr>
        <w:t> </w:t>
      </w:r>
      <w:r>
        <w:rPr>
          <w:w w:val="105"/>
          <w:sz w:val="22"/>
        </w:rPr>
        <w:t>adesione</w:t>
      </w:r>
      <w:r>
        <w:rPr>
          <w:spacing w:val="-22"/>
          <w:w w:val="105"/>
          <w:sz w:val="22"/>
        </w:rPr>
        <w:t> </w:t>
      </w:r>
      <w:r>
        <w:rPr>
          <w:w w:val="105"/>
          <w:sz w:val="22"/>
        </w:rPr>
        <w:t>della</w:t>
      </w:r>
      <w:r>
        <w:rPr>
          <w:spacing w:val="-22"/>
          <w:w w:val="105"/>
          <w:sz w:val="22"/>
        </w:rPr>
        <w:t> </w:t>
      </w:r>
      <w:r>
        <w:rPr>
          <w:w w:val="105"/>
          <w:sz w:val="22"/>
        </w:rPr>
        <w:t>Società</w:t>
      </w:r>
      <w:r>
        <w:rPr>
          <w:spacing w:val="-23"/>
          <w:w w:val="105"/>
          <w:sz w:val="22"/>
        </w:rPr>
        <w:t> </w:t>
      </w:r>
      <w:r>
        <w:rPr>
          <w:w w:val="105"/>
          <w:sz w:val="22"/>
        </w:rPr>
        <w:t>alla</w:t>
      </w:r>
      <w:r>
        <w:rPr>
          <w:spacing w:val="-22"/>
          <w:w w:val="105"/>
          <w:sz w:val="22"/>
        </w:rPr>
        <w:t> </w:t>
      </w:r>
      <w:r>
        <w:rPr>
          <w:w w:val="105"/>
          <w:sz w:val="22"/>
        </w:rPr>
        <w:t>Transazione</w:t>
      </w:r>
      <w:r>
        <w:rPr>
          <w:spacing w:val="-22"/>
          <w:w w:val="105"/>
          <w:sz w:val="22"/>
        </w:rPr>
        <w:t> </w:t>
      </w:r>
      <w:r>
        <w:rPr>
          <w:w w:val="105"/>
          <w:sz w:val="22"/>
        </w:rPr>
        <w:t>Granbio;</w:t>
      </w:r>
    </w:p>
    <w:p>
      <w:pPr>
        <w:pStyle w:val="ListParagraph"/>
        <w:numPr>
          <w:ilvl w:val="0"/>
          <w:numId w:val="34"/>
        </w:numPr>
        <w:tabs>
          <w:tab w:pos="1079" w:val="left" w:leader="none"/>
        </w:tabs>
        <w:spacing w:line="477" w:lineRule="auto" w:before="30" w:after="0"/>
        <w:ind w:left="1078" w:right="2195" w:hanging="340"/>
        <w:jc w:val="both"/>
        <w:rPr>
          <w:sz w:val="22"/>
        </w:rPr>
      </w:pPr>
      <w:r>
        <w:rPr>
          <w:w w:val="105"/>
          <w:sz w:val="22"/>
        </w:rPr>
        <w:t>ai sensi e per gli effetti dell’art. 163-bis, legge fall., per disporre l’apertura di un asta competitiva avente, quale base, l’Offerta Versalis.</w:t>
      </w:r>
    </w:p>
    <w:p>
      <w:pPr>
        <w:spacing w:after="0" w:line="477" w:lineRule="auto"/>
        <w:jc w:val="both"/>
        <w:rPr>
          <w:sz w:val="22"/>
        </w:rPr>
        <w:sectPr>
          <w:pgSz w:w="12240" w:h="15840"/>
          <w:pgMar w:header="0" w:footer="790" w:top="1500" w:bottom="980" w:left="1720" w:right="1200"/>
        </w:sectPr>
      </w:pPr>
    </w:p>
    <w:p>
      <w:pPr>
        <w:pStyle w:val="Heading2"/>
        <w:spacing w:before="105"/>
        <w:ind w:left="475" w:right="2273"/>
      </w:pPr>
      <w:bookmarkStart w:name="_TOC_250003" w:id="49"/>
      <w:bookmarkEnd w:id="49"/>
      <w:r>
        <w:rPr/>
        <w:t>CAPITOLO 13</w:t>
      </w:r>
    </w:p>
    <w:p>
      <w:pPr>
        <w:pStyle w:val="BodyText"/>
        <w:rPr>
          <w:b/>
          <w:sz w:val="23"/>
        </w:rPr>
      </w:pPr>
    </w:p>
    <w:p>
      <w:pPr>
        <w:pStyle w:val="Heading2"/>
        <w:ind w:right="2273"/>
      </w:pPr>
      <w:bookmarkStart w:name="_TOC_250002" w:id="50"/>
      <w:bookmarkEnd w:id="50"/>
      <w:r>
        <w:rPr>
          <w:w w:val="105"/>
        </w:rPr>
        <w:t>La nomina del Liquidatore Giudiziale</w:t>
      </w:r>
    </w:p>
    <w:p>
      <w:pPr>
        <w:pStyle w:val="BodyText"/>
        <w:spacing w:before="1"/>
        <w:rPr>
          <w:b/>
          <w:sz w:val="23"/>
        </w:rPr>
      </w:pPr>
    </w:p>
    <w:p>
      <w:pPr>
        <w:pStyle w:val="BodyText"/>
        <w:spacing w:line="491" w:lineRule="auto"/>
        <w:ind w:left="400" w:right="2196"/>
        <w:jc w:val="both"/>
      </w:pPr>
      <w:r>
        <w:rPr>
          <w:w w:val="105"/>
        </w:rPr>
        <w:t>In sede di ricorso per l’omologazione del concordato preventivo la Società chiederà ai sensi e per gli effetti dell’art. 182 l. fall. la nomina del liquidatore giudiziale.</w:t>
      </w:r>
    </w:p>
    <w:p>
      <w:pPr>
        <w:pStyle w:val="BodyText"/>
        <w:spacing w:line="491" w:lineRule="auto"/>
        <w:ind w:left="400" w:right="2195"/>
        <w:jc w:val="both"/>
      </w:pPr>
      <w:r>
        <w:rPr>
          <w:w w:val="105"/>
        </w:rPr>
        <w:t>Ciononostante, come anticipato, gli amministratori della Società si impegnano gratuitamente a coadiuvare il nominando liquidatore giudiziale nell’attività di alienazione dei cespiti sociali, che avverrà secondo il modello legale dell’art. 182 l. fall, mettendo a disposizione la propria conoscenza del mercato per la ricerca di soggetti interessati.</w:t>
      </w:r>
    </w:p>
    <w:p>
      <w:pPr>
        <w:pStyle w:val="BodyText"/>
        <w:spacing w:line="491" w:lineRule="auto"/>
        <w:ind w:left="400" w:right="2197"/>
        <w:jc w:val="both"/>
      </w:pPr>
      <w:r>
        <w:rPr>
          <w:w w:val="105"/>
        </w:rPr>
        <w:t>Al riguardo, ed anche in ottica di contenimento dei costi, la Società ritiene che, una volta eseguiti i riparti e nell’attesa che si registri l’eventuale incasso dell’Earn Out, sia possibile che la propria struttura operativa venga chiusa</w:t>
      </w:r>
      <w:r>
        <w:rPr>
          <w:spacing w:val="-36"/>
          <w:w w:val="105"/>
        </w:rPr>
        <w:t> </w:t>
      </w:r>
      <w:r>
        <w:rPr>
          <w:w w:val="105"/>
        </w:rPr>
        <w:t>e che permanga solo più il compito del Liquidatore Giudiziale di procedere all’incasso degli attivi residui ed ai successivi riparti, senza aggravio di</w:t>
      </w:r>
      <w:r>
        <w:rPr>
          <w:spacing w:val="42"/>
          <w:w w:val="105"/>
        </w:rPr>
        <w:t> </w:t>
      </w:r>
      <w:r>
        <w:rPr>
          <w:w w:val="105"/>
        </w:rPr>
        <w:t>costi</w:t>
      </w:r>
    </w:p>
    <w:p>
      <w:pPr>
        <w:pStyle w:val="BodyText"/>
        <w:ind w:left="400"/>
      </w:pPr>
      <w:r>
        <w:rPr>
          <w:w w:val="105"/>
        </w:rPr>
        <w:t>ulteriori.</w:t>
      </w:r>
    </w:p>
    <w:p>
      <w:pPr>
        <w:pStyle w:val="BodyText"/>
        <w:rPr>
          <w:sz w:val="23"/>
        </w:rPr>
      </w:pPr>
    </w:p>
    <w:p>
      <w:pPr>
        <w:pStyle w:val="BodyText"/>
        <w:ind w:left="476" w:right="2272"/>
        <w:jc w:val="center"/>
      </w:pPr>
      <w:r>
        <w:rPr>
          <w:w w:val="105"/>
        </w:rPr>
        <w:t>* * *</w:t>
      </w:r>
    </w:p>
    <w:p>
      <w:pPr>
        <w:spacing w:after="0"/>
        <w:jc w:val="center"/>
        <w:sectPr>
          <w:pgSz w:w="12240" w:h="15840"/>
          <w:pgMar w:header="0" w:footer="790" w:top="1500" w:bottom="980" w:left="1720" w:right="1200"/>
        </w:sectPr>
      </w:pPr>
    </w:p>
    <w:p>
      <w:pPr>
        <w:pStyle w:val="BodyText"/>
        <w:spacing w:before="7"/>
        <w:rPr>
          <w:sz w:val="17"/>
        </w:rPr>
      </w:pPr>
    </w:p>
    <w:p>
      <w:pPr>
        <w:pStyle w:val="Heading2"/>
        <w:spacing w:before="105"/>
        <w:ind w:left="475" w:right="2273"/>
      </w:pPr>
      <w:bookmarkStart w:name="_TOC_250001" w:id="51"/>
      <w:bookmarkEnd w:id="51"/>
      <w:r>
        <w:rPr/>
        <w:t>CAPITOLO 14</w:t>
      </w:r>
    </w:p>
    <w:p>
      <w:pPr>
        <w:pStyle w:val="BodyText"/>
        <w:spacing w:before="5"/>
        <w:rPr>
          <w:b/>
          <w:sz w:val="21"/>
        </w:rPr>
      </w:pPr>
    </w:p>
    <w:p>
      <w:pPr>
        <w:pStyle w:val="Heading2"/>
        <w:ind w:right="2273"/>
      </w:pPr>
      <w:bookmarkStart w:name="_TOC_250000" w:id="52"/>
      <w:bookmarkEnd w:id="52"/>
      <w:r>
        <w:rPr>
          <w:w w:val="105"/>
        </w:rPr>
        <w:t>Riserva di modifica migliorativa</w:t>
      </w:r>
    </w:p>
    <w:p>
      <w:pPr>
        <w:pStyle w:val="BodyText"/>
        <w:spacing w:before="4"/>
        <w:rPr>
          <w:b/>
          <w:sz w:val="21"/>
        </w:rPr>
      </w:pPr>
    </w:p>
    <w:p>
      <w:pPr>
        <w:pStyle w:val="BodyText"/>
        <w:spacing w:line="475" w:lineRule="auto"/>
        <w:ind w:left="400" w:right="2195"/>
        <w:jc w:val="both"/>
      </w:pPr>
      <w:r>
        <w:rPr>
          <w:w w:val="105"/>
        </w:rPr>
        <w:t>Fermo quanto precede e sempre nell’ottica del giudizio comparativo di convenienza, la Società riserva sin d’ora di procedere ad una modifica migliorativa</w:t>
      </w:r>
      <w:r>
        <w:rPr>
          <w:spacing w:val="-12"/>
          <w:w w:val="105"/>
        </w:rPr>
        <w:t> </w:t>
      </w:r>
      <w:r>
        <w:rPr>
          <w:w w:val="105"/>
        </w:rPr>
        <w:t>del</w:t>
      </w:r>
      <w:r>
        <w:rPr>
          <w:spacing w:val="-12"/>
          <w:w w:val="105"/>
        </w:rPr>
        <w:t> </w:t>
      </w:r>
      <w:r>
        <w:rPr>
          <w:w w:val="105"/>
        </w:rPr>
        <w:t>Piano</w:t>
      </w:r>
      <w:r>
        <w:rPr>
          <w:spacing w:val="-12"/>
          <w:w w:val="105"/>
        </w:rPr>
        <w:t> </w:t>
      </w:r>
      <w:r>
        <w:rPr>
          <w:w w:val="105"/>
        </w:rPr>
        <w:t>e</w:t>
      </w:r>
      <w:r>
        <w:rPr>
          <w:spacing w:val="-12"/>
          <w:w w:val="105"/>
        </w:rPr>
        <w:t> </w:t>
      </w:r>
      <w:r>
        <w:rPr>
          <w:w w:val="105"/>
        </w:rPr>
        <w:t>della</w:t>
      </w:r>
      <w:r>
        <w:rPr>
          <w:spacing w:val="-12"/>
          <w:w w:val="105"/>
        </w:rPr>
        <w:t> </w:t>
      </w:r>
      <w:r>
        <w:rPr>
          <w:w w:val="105"/>
        </w:rPr>
        <w:t>conseguente</w:t>
      </w:r>
      <w:r>
        <w:rPr>
          <w:spacing w:val="-12"/>
          <w:w w:val="105"/>
        </w:rPr>
        <w:t> </w:t>
      </w:r>
      <w:r>
        <w:rPr>
          <w:w w:val="105"/>
        </w:rPr>
        <w:t>Proposta</w:t>
      </w:r>
      <w:r>
        <w:rPr>
          <w:spacing w:val="-12"/>
          <w:w w:val="105"/>
        </w:rPr>
        <w:t> </w:t>
      </w:r>
      <w:r>
        <w:rPr>
          <w:w w:val="105"/>
        </w:rPr>
        <w:t>sulla</w:t>
      </w:r>
      <w:r>
        <w:rPr>
          <w:spacing w:val="-13"/>
          <w:w w:val="105"/>
        </w:rPr>
        <w:t> </w:t>
      </w:r>
      <w:r>
        <w:rPr>
          <w:w w:val="105"/>
        </w:rPr>
        <w:t>base</w:t>
      </w:r>
      <w:r>
        <w:rPr>
          <w:spacing w:val="-12"/>
          <w:w w:val="105"/>
        </w:rPr>
        <w:t> </w:t>
      </w:r>
      <w:r>
        <w:rPr>
          <w:w w:val="105"/>
        </w:rPr>
        <w:t>delle</w:t>
      </w:r>
      <w:r>
        <w:rPr>
          <w:spacing w:val="-12"/>
          <w:w w:val="105"/>
        </w:rPr>
        <w:t> </w:t>
      </w:r>
      <w:r>
        <w:rPr>
          <w:w w:val="105"/>
        </w:rPr>
        <w:t>trattative in</w:t>
      </w:r>
      <w:r>
        <w:rPr>
          <w:spacing w:val="-16"/>
          <w:w w:val="105"/>
        </w:rPr>
        <w:t> </w:t>
      </w:r>
      <w:r>
        <w:rPr>
          <w:w w:val="105"/>
        </w:rPr>
        <w:t>essere</w:t>
      </w:r>
      <w:r>
        <w:rPr>
          <w:spacing w:val="-16"/>
          <w:w w:val="105"/>
        </w:rPr>
        <w:t> </w:t>
      </w:r>
      <w:r>
        <w:rPr>
          <w:w w:val="105"/>
        </w:rPr>
        <w:t>e</w:t>
      </w:r>
      <w:r>
        <w:rPr>
          <w:spacing w:val="-16"/>
          <w:w w:val="105"/>
        </w:rPr>
        <w:t> </w:t>
      </w:r>
      <w:r>
        <w:rPr>
          <w:w w:val="105"/>
        </w:rPr>
        <w:t>finalizzate,</w:t>
      </w:r>
      <w:r>
        <w:rPr>
          <w:spacing w:val="-15"/>
          <w:w w:val="105"/>
        </w:rPr>
        <w:t> </w:t>
      </w:r>
      <w:r>
        <w:rPr>
          <w:w w:val="105"/>
        </w:rPr>
        <w:t>tra</w:t>
      </w:r>
      <w:r>
        <w:rPr>
          <w:spacing w:val="-16"/>
          <w:w w:val="105"/>
        </w:rPr>
        <w:t> </w:t>
      </w:r>
      <w:r>
        <w:rPr>
          <w:w w:val="105"/>
        </w:rPr>
        <w:t>l’altro,</w:t>
      </w:r>
      <w:r>
        <w:rPr>
          <w:spacing w:val="-15"/>
          <w:w w:val="105"/>
        </w:rPr>
        <w:t> </w:t>
      </w:r>
      <w:r>
        <w:rPr>
          <w:w w:val="105"/>
        </w:rPr>
        <w:t>a:</w:t>
      </w:r>
    </w:p>
    <w:p>
      <w:pPr>
        <w:pStyle w:val="ListParagraph"/>
        <w:numPr>
          <w:ilvl w:val="0"/>
          <w:numId w:val="35"/>
        </w:numPr>
        <w:tabs>
          <w:tab w:pos="1078" w:val="left" w:leader="none"/>
          <w:tab w:pos="1079" w:val="left" w:leader="none"/>
        </w:tabs>
        <w:spacing w:line="247" w:lineRule="exact" w:before="0" w:after="0"/>
        <w:ind w:left="1078" w:right="0" w:hanging="340"/>
        <w:jc w:val="left"/>
        <w:rPr>
          <w:sz w:val="22"/>
        </w:rPr>
      </w:pPr>
      <w:r>
        <w:rPr>
          <w:w w:val="105"/>
          <w:sz w:val="22"/>
        </w:rPr>
        <w:t>il perfezionamento di un accordo para-concordatario con uno o</w:t>
      </w:r>
      <w:r>
        <w:rPr>
          <w:spacing w:val="-32"/>
          <w:w w:val="105"/>
          <w:sz w:val="22"/>
        </w:rPr>
        <w:t> </w:t>
      </w:r>
      <w:r>
        <w:rPr>
          <w:w w:val="105"/>
          <w:sz w:val="22"/>
        </w:rPr>
        <w:t>più</w:t>
      </w:r>
    </w:p>
    <w:p>
      <w:pPr>
        <w:pStyle w:val="BodyText"/>
        <w:spacing w:line="475" w:lineRule="auto" w:before="242"/>
        <w:ind w:left="1078" w:right="2194"/>
        <w:jc w:val="both"/>
      </w:pPr>
      <w:r>
        <w:rPr>
          <w:w w:val="105"/>
        </w:rPr>
        <w:t>creditori finanziari, cui è stato proposto di destinare, a ripagamento delle</w:t>
      </w:r>
      <w:r>
        <w:rPr>
          <w:spacing w:val="-6"/>
          <w:w w:val="105"/>
        </w:rPr>
        <w:t> </w:t>
      </w:r>
      <w:r>
        <w:rPr>
          <w:w w:val="105"/>
        </w:rPr>
        <w:t>proprie</w:t>
      </w:r>
      <w:r>
        <w:rPr>
          <w:spacing w:val="-6"/>
          <w:w w:val="105"/>
        </w:rPr>
        <w:t> </w:t>
      </w:r>
      <w:r>
        <w:rPr>
          <w:w w:val="105"/>
        </w:rPr>
        <w:t>ragioni,</w:t>
      </w:r>
      <w:r>
        <w:rPr>
          <w:spacing w:val="-6"/>
          <w:w w:val="105"/>
        </w:rPr>
        <w:t> </w:t>
      </w:r>
      <w:r>
        <w:rPr>
          <w:w w:val="105"/>
        </w:rPr>
        <w:t>l’earn-out</w:t>
      </w:r>
      <w:r>
        <w:rPr>
          <w:spacing w:val="-7"/>
          <w:w w:val="105"/>
        </w:rPr>
        <w:t> </w:t>
      </w:r>
      <w:r>
        <w:rPr>
          <w:w w:val="105"/>
        </w:rPr>
        <w:t>offerto</w:t>
      </w:r>
      <w:r>
        <w:rPr>
          <w:spacing w:val="-6"/>
          <w:w w:val="105"/>
        </w:rPr>
        <w:t> </w:t>
      </w:r>
      <w:r>
        <w:rPr>
          <w:w w:val="105"/>
        </w:rPr>
        <w:t>da</w:t>
      </w:r>
      <w:r>
        <w:rPr>
          <w:spacing w:val="-6"/>
          <w:w w:val="105"/>
        </w:rPr>
        <w:t> </w:t>
      </w:r>
      <w:r>
        <w:rPr>
          <w:w w:val="105"/>
        </w:rPr>
        <w:t>Versalis</w:t>
      </w:r>
      <w:r>
        <w:rPr>
          <w:spacing w:val="-7"/>
          <w:w w:val="105"/>
        </w:rPr>
        <w:t> </w:t>
      </w:r>
      <w:r>
        <w:rPr>
          <w:w w:val="105"/>
        </w:rPr>
        <w:t>e</w:t>
      </w:r>
      <w:r>
        <w:rPr>
          <w:spacing w:val="-6"/>
          <w:w w:val="105"/>
        </w:rPr>
        <w:t> </w:t>
      </w:r>
      <w:r>
        <w:rPr>
          <w:w w:val="105"/>
        </w:rPr>
        <w:t>con</w:t>
      </w:r>
      <w:r>
        <w:rPr>
          <w:spacing w:val="-8"/>
          <w:w w:val="105"/>
        </w:rPr>
        <w:t> </w:t>
      </w:r>
      <w:r>
        <w:rPr>
          <w:w w:val="105"/>
        </w:rPr>
        <w:t>contestuale rinuncia (totale o parziale) ad essere destinatari dei flussi previsti dal Piano</w:t>
      </w:r>
      <w:r>
        <w:rPr>
          <w:spacing w:val="-17"/>
          <w:w w:val="105"/>
        </w:rPr>
        <w:t> </w:t>
      </w:r>
      <w:r>
        <w:rPr>
          <w:w w:val="105"/>
        </w:rPr>
        <w:t>di</w:t>
      </w:r>
      <w:r>
        <w:rPr>
          <w:spacing w:val="-16"/>
          <w:w w:val="105"/>
        </w:rPr>
        <w:t> </w:t>
      </w:r>
      <w:r>
        <w:rPr>
          <w:w w:val="105"/>
        </w:rPr>
        <w:t>Ripagamento</w:t>
      </w:r>
      <w:r>
        <w:rPr>
          <w:spacing w:val="-17"/>
          <w:w w:val="105"/>
        </w:rPr>
        <w:t> </w:t>
      </w:r>
      <w:r>
        <w:rPr>
          <w:w w:val="105"/>
        </w:rPr>
        <w:t>(</w:t>
      </w:r>
      <w:r>
        <w:rPr>
          <w:b/>
          <w:w w:val="105"/>
        </w:rPr>
        <w:t>doc.</w:t>
      </w:r>
      <w:r>
        <w:rPr>
          <w:b/>
          <w:spacing w:val="-16"/>
          <w:w w:val="105"/>
        </w:rPr>
        <w:t> </w:t>
      </w:r>
      <w:r>
        <w:rPr>
          <w:b/>
          <w:w w:val="105"/>
        </w:rPr>
        <w:t>76</w:t>
      </w:r>
      <w:r>
        <w:rPr>
          <w:w w:val="105"/>
        </w:rPr>
        <w:t>),</w:t>
      </w:r>
      <w:r>
        <w:rPr>
          <w:spacing w:val="-16"/>
          <w:w w:val="105"/>
        </w:rPr>
        <w:t> </w:t>
      </w:r>
      <w:r>
        <w:rPr>
          <w:w w:val="105"/>
        </w:rPr>
        <w:t>e</w:t>
      </w:r>
    </w:p>
    <w:p>
      <w:pPr>
        <w:pStyle w:val="ListParagraph"/>
        <w:numPr>
          <w:ilvl w:val="0"/>
          <w:numId w:val="35"/>
        </w:numPr>
        <w:tabs>
          <w:tab w:pos="1078" w:val="left" w:leader="none"/>
          <w:tab w:pos="1079" w:val="left" w:leader="none"/>
        </w:tabs>
        <w:spacing w:line="247" w:lineRule="exact" w:before="0" w:after="0"/>
        <w:ind w:left="1078" w:right="0" w:hanging="340"/>
        <w:jc w:val="left"/>
        <w:rPr>
          <w:sz w:val="22"/>
        </w:rPr>
      </w:pPr>
      <w:r>
        <w:rPr>
          <w:w w:val="105"/>
          <w:sz w:val="22"/>
        </w:rPr>
        <w:t>la</w:t>
      </w:r>
      <w:r>
        <w:rPr>
          <w:spacing w:val="-13"/>
          <w:w w:val="105"/>
          <w:sz w:val="22"/>
        </w:rPr>
        <w:t> </w:t>
      </w:r>
      <w:r>
        <w:rPr>
          <w:w w:val="105"/>
          <w:sz w:val="22"/>
        </w:rPr>
        <w:t>prosecuzione</w:t>
      </w:r>
      <w:r>
        <w:rPr>
          <w:spacing w:val="-12"/>
          <w:w w:val="105"/>
          <w:sz w:val="22"/>
        </w:rPr>
        <w:t> </w:t>
      </w:r>
      <w:r>
        <w:rPr>
          <w:w w:val="105"/>
          <w:sz w:val="22"/>
        </w:rPr>
        <w:t>delle</w:t>
      </w:r>
      <w:r>
        <w:rPr>
          <w:spacing w:val="-14"/>
          <w:w w:val="105"/>
          <w:sz w:val="22"/>
        </w:rPr>
        <w:t> </w:t>
      </w:r>
      <w:r>
        <w:rPr>
          <w:w w:val="105"/>
          <w:sz w:val="22"/>
        </w:rPr>
        <w:t>trattative</w:t>
      </w:r>
      <w:r>
        <w:rPr>
          <w:spacing w:val="-14"/>
          <w:w w:val="105"/>
          <w:sz w:val="22"/>
        </w:rPr>
        <w:t> </w:t>
      </w:r>
      <w:r>
        <w:rPr>
          <w:w w:val="105"/>
          <w:sz w:val="22"/>
        </w:rPr>
        <w:t>relative</w:t>
      </w:r>
      <w:r>
        <w:rPr>
          <w:spacing w:val="-13"/>
          <w:w w:val="105"/>
          <w:sz w:val="22"/>
        </w:rPr>
        <w:t> </w:t>
      </w:r>
      <w:r>
        <w:rPr>
          <w:w w:val="105"/>
          <w:sz w:val="22"/>
        </w:rPr>
        <w:t>ai</w:t>
      </w:r>
      <w:r>
        <w:rPr>
          <w:spacing w:val="-14"/>
          <w:w w:val="105"/>
          <w:sz w:val="22"/>
        </w:rPr>
        <w:t> </w:t>
      </w:r>
      <w:r>
        <w:rPr>
          <w:w w:val="105"/>
          <w:sz w:val="22"/>
        </w:rPr>
        <w:t>contratti</w:t>
      </w:r>
      <w:r>
        <w:rPr>
          <w:spacing w:val="-14"/>
          <w:w w:val="105"/>
          <w:sz w:val="22"/>
        </w:rPr>
        <w:t> </w:t>
      </w:r>
      <w:r>
        <w:rPr>
          <w:w w:val="105"/>
          <w:sz w:val="22"/>
        </w:rPr>
        <w:t>di</w:t>
      </w:r>
      <w:r>
        <w:rPr>
          <w:spacing w:val="-14"/>
          <w:w w:val="105"/>
          <w:sz w:val="22"/>
        </w:rPr>
        <w:t> </w:t>
      </w:r>
      <w:r>
        <w:rPr>
          <w:w w:val="105"/>
          <w:sz w:val="22"/>
        </w:rPr>
        <w:t>assicurazione</w:t>
      </w:r>
      <w:r>
        <w:rPr>
          <w:spacing w:val="-12"/>
          <w:w w:val="105"/>
          <w:sz w:val="22"/>
        </w:rPr>
        <w:t> </w:t>
      </w:r>
      <w:r>
        <w:rPr>
          <w:w w:val="105"/>
          <w:sz w:val="22"/>
        </w:rPr>
        <w:t>n.</w:t>
      </w:r>
    </w:p>
    <w:p>
      <w:pPr>
        <w:pStyle w:val="BodyText"/>
        <w:spacing w:line="475" w:lineRule="auto" w:before="241"/>
        <w:ind w:left="1078" w:right="2196"/>
        <w:jc w:val="both"/>
      </w:pPr>
      <w:r>
        <w:rPr>
          <w:w w:val="105"/>
        </w:rPr>
        <w:t>1913065 (nota di copertura n. B0621PMGFI000416 e n. B0621PITAL000816) e n. 1913066 (nota di copertura B0621PMGFI000516) stipulati con M&amp;G Chemicals S.A. e M&amp;G Finanziaria</w:t>
      </w:r>
      <w:r>
        <w:rPr>
          <w:spacing w:val="-12"/>
          <w:w w:val="105"/>
        </w:rPr>
        <w:t> </w:t>
      </w:r>
      <w:r>
        <w:rPr>
          <w:w w:val="105"/>
        </w:rPr>
        <w:t>S.p.A.</w:t>
      </w:r>
      <w:r>
        <w:rPr>
          <w:spacing w:val="-10"/>
          <w:w w:val="105"/>
        </w:rPr>
        <w:t> </w:t>
      </w:r>
      <w:r>
        <w:rPr>
          <w:w w:val="105"/>
        </w:rPr>
        <w:t>nei</w:t>
      </w:r>
      <w:r>
        <w:rPr>
          <w:spacing w:val="-10"/>
          <w:w w:val="105"/>
        </w:rPr>
        <w:t> </w:t>
      </w:r>
      <w:r>
        <w:rPr>
          <w:w w:val="105"/>
        </w:rPr>
        <w:t>termini</w:t>
      </w:r>
      <w:r>
        <w:rPr>
          <w:spacing w:val="-11"/>
          <w:w w:val="105"/>
        </w:rPr>
        <w:t> </w:t>
      </w:r>
      <w:r>
        <w:rPr>
          <w:w w:val="105"/>
        </w:rPr>
        <w:t>di</w:t>
      </w:r>
      <w:r>
        <w:rPr>
          <w:spacing w:val="-10"/>
          <w:w w:val="105"/>
        </w:rPr>
        <w:t> </w:t>
      </w:r>
      <w:r>
        <w:rPr>
          <w:w w:val="105"/>
        </w:rPr>
        <w:t>cui</w:t>
      </w:r>
      <w:r>
        <w:rPr>
          <w:spacing w:val="-10"/>
          <w:w w:val="105"/>
        </w:rPr>
        <w:t> </w:t>
      </w:r>
      <w:r>
        <w:rPr>
          <w:w w:val="105"/>
        </w:rPr>
        <w:t>alla</w:t>
      </w:r>
      <w:r>
        <w:rPr>
          <w:spacing w:val="-10"/>
          <w:w w:val="105"/>
        </w:rPr>
        <w:t> </w:t>
      </w:r>
      <w:r>
        <w:rPr>
          <w:w w:val="105"/>
        </w:rPr>
        <w:t>comunicazione</w:t>
      </w:r>
      <w:r>
        <w:rPr>
          <w:spacing w:val="-10"/>
          <w:w w:val="105"/>
        </w:rPr>
        <w:t> </w:t>
      </w:r>
      <w:r>
        <w:rPr>
          <w:w w:val="105"/>
        </w:rPr>
        <w:t>di</w:t>
      </w:r>
      <w:r>
        <w:rPr>
          <w:spacing w:val="-10"/>
          <w:w w:val="105"/>
        </w:rPr>
        <w:t> </w:t>
      </w:r>
      <w:r>
        <w:rPr>
          <w:w w:val="105"/>
        </w:rPr>
        <w:t>cui</w:t>
      </w:r>
      <w:r>
        <w:rPr>
          <w:spacing w:val="-10"/>
          <w:w w:val="105"/>
        </w:rPr>
        <w:t> </w:t>
      </w:r>
      <w:r>
        <w:rPr>
          <w:w w:val="105"/>
        </w:rPr>
        <w:t>al</w:t>
      </w:r>
      <w:r>
        <w:rPr>
          <w:spacing w:val="-10"/>
          <w:w w:val="105"/>
        </w:rPr>
        <w:t> </w:t>
      </w:r>
      <w:r>
        <w:rPr>
          <w:b/>
          <w:w w:val="105"/>
        </w:rPr>
        <w:t>doc. 77 </w:t>
      </w:r>
      <w:r>
        <w:rPr>
          <w:w w:val="105"/>
        </w:rPr>
        <w:t>e salva ogni ulteriore informativa agli Organi della Procedura; comunicazione che la Società, tramite i suoi consulenti ed in un’ottica</w:t>
      </w:r>
      <w:r>
        <w:rPr>
          <w:spacing w:val="-14"/>
          <w:w w:val="105"/>
        </w:rPr>
        <w:t> </w:t>
      </w:r>
      <w:r>
        <w:rPr>
          <w:w w:val="105"/>
        </w:rPr>
        <w:t>di</w:t>
      </w:r>
      <w:r>
        <w:rPr>
          <w:spacing w:val="-13"/>
          <w:w w:val="105"/>
        </w:rPr>
        <w:t> </w:t>
      </w:r>
      <w:r>
        <w:rPr>
          <w:w w:val="105"/>
        </w:rPr>
        <w:t>massima</w:t>
      </w:r>
      <w:r>
        <w:rPr>
          <w:spacing w:val="-14"/>
          <w:w w:val="105"/>
        </w:rPr>
        <w:t> </w:t>
      </w:r>
      <w:r>
        <w:rPr>
          <w:w w:val="105"/>
        </w:rPr>
        <w:t>trasparenza,</w:t>
      </w:r>
      <w:r>
        <w:rPr>
          <w:spacing w:val="-14"/>
          <w:w w:val="105"/>
        </w:rPr>
        <w:t> </w:t>
      </w:r>
      <w:r>
        <w:rPr>
          <w:w w:val="105"/>
        </w:rPr>
        <w:t>ha</w:t>
      </w:r>
      <w:r>
        <w:rPr>
          <w:spacing w:val="-13"/>
          <w:w w:val="105"/>
        </w:rPr>
        <w:t> </w:t>
      </w:r>
      <w:r>
        <w:rPr>
          <w:w w:val="105"/>
        </w:rPr>
        <w:t>ritenuto</w:t>
      </w:r>
      <w:r>
        <w:rPr>
          <w:spacing w:val="-12"/>
          <w:w w:val="105"/>
        </w:rPr>
        <w:t> </w:t>
      </w:r>
      <w:r>
        <w:rPr>
          <w:w w:val="105"/>
        </w:rPr>
        <w:t>di</w:t>
      </w:r>
      <w:r>
        <w:rPr>
          <w:spacing w:val="-13"/>
          <w:w w:val="105"/>
        </w:rPr>
        <w:t> </w:t>
      </w:r>
      <w:r>
        <w:rPr>
          <w:w w:val="105"/>
        </w:rPr>
        <w:t>inoltrare</w:t>
      </w:r>
      <w:r>
        <w:rPr>
          <w:spacing w:val="-13"/>
          <w:w w:val="105"/>
        </w:rPr>
        <w:t> </w:t>
      </w:r>
      <w:r>
        <w:rPr>
          <w:w w:val="105"/>
        </w:rPr>
        <w:t>non</w:t>
      </w:r>
      <w:r>
        <w:rPr>
          <w:spacing w:val="-13"/>
          <w:w w:val="105"/>
        </w:rPr>
        <w:t> </w:t>
      </w:r>
      <w:r>
        <w:rPr>
          <w:w w:val="105"/>
        </w:rPr>
        <w:t>appena sia stato possibile, anche considerate le clausole di confidenzialità contenute nei predetti contratti e la cui violazione avrebbe potuto comportare la perdita della relativa copertura assicurativa; in particolare,</w:t>
      </w:r>
      <w:r>
        <w:rPr>
          <w:spacing w:val="-15"/>
          <w:w w:val="105"/>
        </w:rPr>
        <w:t> </w:t>
      </w:r>
      <w:r>
        <w:rPr>
          <w:w w:val="105"/>
        </w:rPr>
        <w:t>i</w:t>
      </w:r>
      <w:r>
        <w:rPr>
          <w:spacing w:val="-17"/>
          <w:w w:val="105"/>
        </w:rPr>
        <w:t> </w:t>
      </w:r>
      <w:r>
        <w:rPr>
          <w:w w:val="105"/>
        </w:rPr>
        <w:t>consulenti</w:t>
      </w:r>
      <w:r>
        <w:rPr>
          <w:spacing w:val="-18"/>
          <w:w w:val="105"/>
        </w:rPr>
        <w:t> </w:t>
      </w:r>
      <w:r>
        <w:rPr>
          <w:w w:val="105"/>
        </w:rPr>
        <w:t>della</w:t>
      </w:r>
      <w:r>
        <w:rPr>
          <w:spacing w:val="-17"/>
          <w:w w:val="105"/>
        </w:rPr>
        <w:t> </w:t>
      </w:r>
      <w:r>
        <w:rPr>
          <w:w w:val="105"/>
        </w:rPr>
        <w:t>Società,</w:t>
      </w:r>
      <w:r>
        <w:rPr>
          <w:spacing w:val="-15"/>
          <w:w w:val="105"/>
        </w:rPr>
        <w:t> </w:t>
      </w:r>
      <w:r>
        <w:rPr>
          <w:w w:val="105"/>
        </w:rPr>
        <w:t>anche</w:t>
      </w:r>
      <w:r>
        <w:rPr>
          <w:spacing w:val="-16"/>
          <w:w w:val="105"/>
        </w:rPr>
        <w:t> </w:t>
      </w:r>
      <w:r>
        <w:rPr>
          <w:w w:val="105"/>
        </w:rPr>
        <w:t>sulla</w:t>
      </w:r>
      <w:r>
        <w:rPr>
          <w:spacing w:val="-17"/>
          <w:w w:val="105"/>
        </w:rPr>
        <w:t> </w:t>
      </w:r>
      <w:r>
        <w:rPr>
          <w:w w:val="105"/>
        </w:rPr>
        <w:t>base</w:t>
      </w:r>
      <w:r>
        <w:rPr>
          <w:spacing w:val="-17"/>
          <w:w w:val="105"/>
        </w:rPr>
        <w:t> </w:t>
      </w:r>
      <w:r>
        <w:rPr>
          <w:w w:val="105"/>
        </w:rPr>
        <w:t>delle</w:t>
      </w:r>
      <w:r>
        <w:rPr>
          <w:spacing w:val="-17"/>
          <w:w w:val="105"/>
        </w:rPr>
        <w:t> </w:t>
      </w:r>
      <w:r>
        <w:rPr>
          <w:w w:val="105"/>
        </w:rPr>
        <w:t>risultanze contenute nella relazione di attestazione di IBP, si sono attivati al fine di rappresentare la sussistenza delle condizioni di   </w:t>
      </w:r>
      <w:r>
        <w:rPr>
          <w:spacing w:val="48"/>
          <w:w w:val="105"/>
        </w:rPr>
        <w:t> </w:t>
      </w:r>
      <w:r>
        <w:rPr>
          <w:w w:val="105"/>
        </w:rPr>
        <w:t>attivazione</w:t>
      </w:r>
    </w:p>
    <w:p>
      <w:pPr>
        <w:spacing w:after="0" w:line="475" w:lineRule="auto"/>
        <w:jc w:val="both"/>
        <w:sectPr>
          <w:pgSz w:w="12240" w:h="15840"/>
          <w:pgMar w:header="0" w:footer="790" w:top="1500" w:bottom="980" w:left="1720" w:right="1200"/>
        </w:sectPr>
      </w:pPr>
    </w:p>
    <w:p>
      <w:pPr>
        <w:pStyle w:val="BodyText"/>
        <w:spacing w:before="7"/>
        <w:rPr>
          <w:sz w:val="17"/>
        </w:rPr>
      </w:pPr>
    </w:p>
    <w:p>
      <w:pPr>
        <w:pStyle w:val="BodyText"/>
        <w:spacing w:line="475" w:lineRule="auto" w:before="105"/>
        <w:ind w:left="1078" w:right="2196"/>
        <w:jc w:val="both"/>
      </w:pPr>
      <w:r>
        <w:rPr>
          <w:w w:val="105"/>
        </w:rPr>
        <w:t>delle</w:t>
      </w:r>
      <w:r>
        <w:rPr>
          <w:spacing w:val="-11"/>
          <w:w w:val="105"/>
        </w:rPr>
        <w:t> </w:t>
      </w:r>
      <w:r>
        <w:rPr>
          <w:w w:val="105"/>
        </w:rPr>
        <w:t>polizze</w:t>
      </w:r>
      <w:r>
        <w:rPr>
          <w:spacing w:val="-10"/>
          <w:w w:val="105"/>
        </w:rPr>
        <w:t> </w:t>
      </w:r>
      <w:r>
        <w:rPr>
          <w:w w:val="105"/>
        </w:rPr>
        <w:t>assicurative</w:t>
      </w:r>
      <w:r>
        <w:rPr>
          <w:spacing w:val="-10"/>
          <w:w w:val="105"/>
        </w:rPr>
        <w:t> </w:t>
      </w:r>
      <w:r>
        <w:rPr>
          <w:w w:val="105"/>
        </w:rPr>
        <w:t>nella</w:t>
      </w:r>
      <w:r>
        <w:rPr>
          <w:spacing w:val="-12"/>
          <w:w w:val="105"/>
        </w:rPr>
        <w:t> </w:t>
      </w:r>
      <w:r>
        <w:rPr>
          <w:w w:val="105"/>
        </w:rPr>
        <w:t>prospettiva</w:t>
      </w:r>
      <w:r>
        <w:rPr>
          <w:spacing w:val="-11"/>
          <w:w w:val="105"/>
        </w:rPr>
        <w:t> </w:t>
      </w:r>
      <w:r>
        <w:rPr>
          <w:w w:val="105"/>
        </w:rPr>
        <w:t>di</w:t>
      </w:r>
      <w:r>
        <w:rPr>
          <w:spacing w:val="-11"/>
          <w:w w:val="105"/>
        </w:rPr>
        <w:t> </w:t>
      </w:r>
      <w:r>
        <w:rPr>
          <w:w w:val="105"/>
        </w:rPr>
        <w:t>conseguire</w:t>
      </w:r>
      <w:r>
        <w:rPr>
          <w:spacing w:val="-13"/>
          <w:w w:val="105"/>
        </w:rPr>
        <w:t> </w:t>
      </w:r>
      <w:r>
        <w:rPr>
          <w:w w:val="105"/>
        </w:rPr>
        <w:t>l’erogazione di un indennizzo che possa incrementare, anche in modo significativo,</w:t>
      </w:r>
      <w:r>
        <w:rPr>
          <w:spacing w:val="-7"/>
          <w:w w:val="105"/>
        </w:rPr>
        <w:t> </w:t>
      </w:r>
      <w:r>
        <w:rPr>
          <w:w w:val="105"/>
        </w:rPr>
        <w:t>le</w:t>
      </w:r>
      <w:r>
        <w:rPr>
          <w:spacing w:val="-7"/>
          <w:w w:val="105"/>
        </w:rPr>
        <w:t> </w:t>
      </w:r>
      <w:r>
        <w:rPr>
          <w:w w:val="105"/>
        </w:rPr>
        <w:t>possibilità</w:t>
      </w:r>
      <w:r>
        <w:rPr>
          <w:spacing w:val="-8"/>
          <w:w w:val="105"/>
        </w:rPr>
        <w:t> </w:t>
      </w:r>
      <w:r>
        <w:rPr>
          <w:w w:val="105"/>
        </w:rPr>
        <w:t>di</w:t>
      </w:r>
      <w:r>
        <w:rPr>
          <w:spacing w:val="-7"/>
          <w:w w:val="105"/>
        </w:rPr>
        <w:t> </w:t>
      </w:r>
      <w:r>
        <w:rPr>
          <w:w w:val="105"/>
        </w:rPr>
        <w:t>soddisfazione</w:t>
      </w:r>
      <w:r>
        <w:rPr>
          <w:spacing w:val="-7"/>
          <w:w w:val="105"/>
        </w:rPr>
        <w:t> </w:t>
      </w:r>
      <w:r>
        <w:rPr>
          <w:w w:val="105"/>
        </w:rPr>
        <w:t>dei</w:t>
      </w:r>
      <w:r>
        <w:rPr>
          <w:spacing w:val="-7"/>
          <w:w w:val="105"/>
        </w:rPr>
        <w:t> </w:t>
      </w:r>
      <w:r>
        <w:rPr>
          <w:w w:val="105"/>
        </w:rPr>
        <w:t>creditori</w:t>
      </w:r>
      <w:r>
        <w:rPr>
          <w:spacing w:val="-8"/>
          <w:w w:val="105"/>
        </w:rPr>
        <w:t> </w:t>
      </w:r>
      <w:r>
        <w:rPr>
          <w:w w:val="105"/>
        </w:rPr>
        <w:t>chirografari; le trattative sono, al momento, state avviate ed i primi riscontri conseguiti risultano positivi, sicché è ragionevole ritenere che, entro la data in cui sarà stata fissata l’adunanza dei creditori, possa addivenirsi alla definizione di un accordo da assoggettare, ove </w:t>
      </w:r>
      <w:r>
        <w:rPr/>
        <w:t>necessario, ad</w:t>
      </w:r>
      <w:r>
        <w:rPr>
          <w:spacing w:val="43"/>
        </w:rPr>
        <w:t> </w:t>
      </w:r>
      <w:r>
        <w:rPr/>
        <w:t>autorizzazione..</w:t>
      </w:r>
    </w:p>
    <w:p>
      <w:pPr>
        <w:pStyle w:val="BodyText"/>
        <w:spacing w:line="475" w:lineRule="auto"/>
        <w:ind w:left="400" w:right="2195"/>
        <w:jc w:val="both"/>
      </w:pPr>
      <w:r>
        <w:rPr>
          <w:w w:val="105"/>
        </w:rPr>
        <w:t>Con particolare riferimento a quest’ultimo profilo, la Società auspica che, nelle more della procedura e prima dell’adunanza dei creditori, sia possibile addivenire</w:t>
      </w:r>
      <w:r>
        <w:rPr>
          <w:spacing w:val="-11"/>
          <w:w w:val="105"/>
        </w:rPr>
        <w:t> </w:t>
      </w:r>
      <w:r>
        <w:rPr>
          <w:w w:val="105"/>
        </w:rPr>
        <w:t>ad</w:t>
      </w:r>
      <w:r>
        <w:rPr>
          <w:spacing w:val="-10"/>
          <w:w w:val="105"/>
        </w:rPr>
        <w:t> </w:t>
      </w:r>
      <w:r>
        <w:rPr>
          <w:w w:val="105"/>
        </w:rPr>
        <w:t>una</w:t>
      </w:r>
      <w:r>
        <w:rPr>
          <w:spacing w:val="-10"/>
          <w:w w:val="105"/>
        </w:rPr>
        <w:t> </w:t>
      </w:r>
      <w:r>
        <w:rPr>
          <w:w w:val="105"/>
        </w:rPr>
        <w:t>definizione</w:t>
      </w:r>
      <w:r>
        <w:rPr>
          <w:spacing w:val="-10"/>
          <w:w w:val="105"/>
        </w:rPr>
        <w:t> </w:t>
      </w:r>
      <w:r>
        <w:rPr>
          <w:w w:val="105"/>
        </w:rPr>
        <w:t>concordata,</w:t>
      </w:r>
      <w:r>
        <w:rPr>
          <w:spacing w:val="-10"/>
          <w:w w:val="105"/>
        </w:rPr>
        <w:t> </w:t>
      </w:r>
      <w:r>
        <w:rPr>
          <w:w w:val="105"/>
        </w:rPr>
        <w:t>da</w:t>
      </w:r>
      <w:r>
        <w:rPr>
          <w:spacing w:val="-11"/>
          <w:w w:val="105"/>
        </w:rPr>
        <w:t> </w:t>
      </w:r>
      <w:r>
        <w:rPr>
          <w:w w:val="105"/>
        </w:rPr>
        <w:t>assoggettare</w:t>
      </w:r>
      <w:r>
        <w:rPr>
          <w:spacing w:val="-10"/>
          <w:w w:val="105"/>
        </w:rPr>
        <w:t> </w:t>
      </w:r>
      <w:r>
        <w:rPr>
          <w:w w:val="105"/>
        </w:rPr>
        <w:t>(ove</w:t>
      </w:r>
      <w:r>
        <w:rPr>
          <w:spacing w:val="-10"/>
          <w:w w:val="105"/>
        </w:rPr>
        <w:t> </w:t>
      </w:r>
      <w:r>
        <w:rPr>
          <w:w w:val="105"/>
        </w:rPr>
        <w:t>necessario)</w:t>
      </w:r>
      <w:r>
        <w:rPr>
          <w:spacing w:val="-8"/>
          <w:w w:val="105"/>
        </w:rPr>
        <w:t> </w:t>
      </w:r>
      <w:r>
        <w:rPr>
          <w:w w:val="105"/>
        </w:rPr>
        <w:t>a preventiva autorizzazione, ritenendo che l’attivazione giudiziale degli anzidetti</w:t>
      </w:r>
      <w:r>
        <w:rPr>
          <w:spacing w:val="-13"/>
          <w:w w:val="105"/>
        </w:rPr>
        <w:t> </w:t>
      </w:r>
      <w:r>
        <w:rPr>
          <w:w w:val="105"/>
        </w:rPr>
        <w:t>contratti</w:t>
      </w:r>
      <w:r>
        <w:rPr>
          <w:spacing w:val="-14"/>
          <w:w w:val="105"/>
        </w:rPr>
        <w:t> </w:t>
      </w:r>
      <w:r>
        <w:rPr>
          <w:w w:val="105"/>
        </w:rPr>
        <w:t>possa</w:t>
      </w:r>
      <w:r>
        <w:rPr>
          <w:spacing w:val="-14"/>
          <w:w w:val="105"/>
        </w:rPr>
        <w:t> </w:t>
      </w:r>
      <w:r>
        <w:rPr>
          <w:w w:val="105"/>
        </w:rPr>
        <w:t>pregiudicare</w:t>
      </w:r>
      <w:r>
        <w:rPr>
          <w:spacing w:val="-13"/>
          <w:w w:val="105"/>
        </w:rPr>
        <w:t> </w:t>
      </w:r>
      <w:r>
        <w:rPr>
          <w:w w:val="105"/>
        </w:rPr>
        <w:t>la</w:t>
      </w:r>
      <w:r>
        <w:rPr>
          <w:spacing w:val="-13"/>
          <w:w w:val="105"/>
        </w:rPr>
        <w:t> </w:t>
      </w:r>
      <w:r>
        <w:rPr>
          <w:w w:val="105"/>
        </w:rPr>
        <w:t>consistenza</w:t>
      </w:r>
      <w:r>
        <w:rPr>
          <w:spacing w:val="-13"/>
          <w:w w:val="105"/>
        </w:rPr>
        <w:t> </w:t>
      </w:r>
      <w:r>
        <w:rPr>
          <w:w w:val="105"/>
        </w:rPr>
        <w:t>qualitativa</w:t>
      </w:r>
      <w:r>
        <w:rPr>
          <w:spacing w:val="-13"/>
          <w:w w:val="105"/>
        </w:rPr>
        <w:t> </w:t>
      </w:r>
      <w:r>
        <w:rPr>
          <w:w w:val="105"/>
        </w:rPr>
        <w:t>e</w:t>
      </w:r>
      <w:r>
        <w:rPr>
          <w:spacing w:val="-14"/>
          <w:w w:val="105"/>
        </w:rPr>
        <w:t> </w:t>
      </w:r>
      <w:r>
        <w:rPr>
          <w:w w:val="105"/>
        </w:rPr>
        <w:t>quantitativa dell’indennizzo  che  verrebbe  messo  a  completo  servizio  del  Piano  </w:t>
      </w:r>
      <w:r>
        <w:rPr>
          <w:spacing w:val="15"/>
          <w:w w:val="105"/>
        </w:rPr>
        <w:t> </w:t>
      </w:r>
      <w:r>
        <w:rPr>
          <w:w w:val="105"/>
        </w:rPr>
        <w:t>di</w:t>
      </w:r>
    </w:p>
    <w:p>
      <w:pPr>
        <w:pStyle w:val="BodyText"/>
        <w:spacing w:line="247" w:lineRule="exact" w:before="2"/>
        <w:ind w:left="400"/>
        <w:jc w:val="both"/>
      </w:pPr>
      <w:r>
        <w:rPr>
          <w:w w:val="105"/>
        </w:rPr>
        <w:t>Ripagamento e, in particolare, dei creditori chirografari.</w:t>
      </w:r>
    </w:p>
    <w:p>
      <w:pPr>
        <w:pStyle w:val="BodyText"/>
        <w:spacing w:before="43"/>
        <w:ind w:left="476" w:right="2272"/>
        <w:jc w:val="center"/>
      </w:pPr>
      <w:r>
        <w:rPr>
          <w:w w:val="105"/>
        </w:rPr>
        <w:t>* * *</w:t>
      </w:r>
    </w:p>
    <w:p>
      <w:pPr>
        <w:spacing w:after="0"/>
        <w:jc w:val="center"/>
        <w:sectPr>
          <w:pgSz w:w="12240" w:h="15840"/>
          <w:pgMar w:header="0" w:footer="790" w:top="1500" w:bottom="980" w:left="1720" w:right="1200"/>
        </w:sectPr>
      </w:pPr>
    </w:p>
    <w:p>
      <w:pPr>
        <w:pStyle w:val="BodyText"/>
        <w:spacing w:line="491" w:lineRule="auto" w:before="105"/>
        <w:ind w:left="400" w:right="2199"/>
        <w:jc w:val="both"/>
      </w:pPr>
      <w:r>
        <w:rPr>
          <w:w w:val="105"/>
        </w:rPr>
        <w:t>Tutto</w:t>
      </w:r>
      <w:r>
        <w:rPr>
          <w:spacing w:val="-14"/>
          <w:w w:val="105"/>
        </w:rPr>
        <w:t> </w:t>
      </w:r>
      <w:r>
        <w:rPr>
          <w:w w:val="105"/>
        </w:rPr>
        <w:t>ciò</w:t>
      </w:r>
      <w:r>
        <w:rPr>
          <w:spacing w:val="-14"/>
          <w:w w:val="105"/>
        </w:rPr>
        <w:t> </w:t>
      </w:r>
      <w:r>
        <w:rPr>
          <w:w w:val="105"/>
        </w:rPr>
        <w:t>premesso,</w:t>
      </w:r>
      <w:r>
        <w:rPr>
          <w:spacing w:val="-14"/>
          <w:w w:val="105"/>
        </w:rPr>
        <w:t> </w:t>
      </w:r>
      <w:r>
        <w:rPr>
          <w:w w:val="105"/>
        </w:rPr>
        <w:t>la</w:t>
      </w:r>
      <w:r>
        <w:rPr>
          <w:spacing w:val="-16"/>
          <w:w w:val="105"/>
        </w:rPr>
        <w:t> </w:t>
      </w:r>
      <w:r>
        <w:rPr>
          <w:b/>
          <w:w w:val="105"/>
        </w:rPr>
        <w:t>BIOCHEMTEX</w:t>
      </w:r>
      <w:r>
        <w:rPr>
          <w:b/>
          <w:spacing w:val="-9"/>
          <w:w w:val="105"/>
        </w:rPr>
        <w:t> </w:t>
      </w:r>
      <w:r>
        <w:rPr>
          <w:b/>
          <w:w w:val="105"/>
        </w:rPr>
        <w:t>S.P.A.</w:t>
      </w:r>
      <w:r>
        <w:rPr>
          <w:w w:val="105"/>
        </w:rPr>
        <w:t>,</w:t>
      </w:r>
      <w:r>
        <w:rPr>
          <w:spacing w:val="-14"/>
          <w:w w:val="105"/>
        </w:rPr>
        <w:t> </w:t>
      </w:r>
      <w:r>
        <w:rPr>
          <w:w w:val="105"/>
        </w:rPr>
        <w:t>come</w:t>
      </w:r>
      <w:r>
        <w:rPr>
          <w:spacing w:val="-14"/>
          <w:w w:val="105"/>
        </w:rPr>
        <w:t> </w:t>
      </w:r>
      <w:r>
        <w:rPr>
          <w:w w:val="105"/>
        </w:rPr>
        <w:t>sopra</w:t>
      </w:r>
      <w:r>
        <w:rPr>
          <w:spacing w:val="-14"/>
          <w:w w:val="105"/>
        </w:rPr>
        <w:t> </w:t>
      </w:r>
      <w:r>
        <w:rPr>
          <w:w w:val="105"/>
        </w:rPr>
        <w:t>rappresentata, assistita</w:t>
      </w:r>
      <w:r>
        <w:rPr>
          <w:spacing w:val="-24"/>
          <w:w w:val="105"/>
        </w:rPr>
        <w:t> </w:t>
      </w:r>
      <w:r>
        <w:rPr>
          <w:w w:val="105"/>
        </w:rPr>
        <w:t>e</w:t>
      </w:r>
      <w:r>
        <w:rPr>
          <w:spacing w:val="-24"/>
          <w:w w:val="105"/>
        </w:rPr>
        <w:t> </w:t>
      </w:r>
      <w:r>
        <w:rPr>
          <w:w w:val="105"/>
        </w:rPr>
        <w:t>domiciliata,</w:t>
      </w:r>
    </w:p>
    <w:p>
      <w:pPr>
        <w:spacing w:before="35"/>
        <w:ind w:left="475" w:right="2273" w:firstLine="0"/>
        <w:jc w:val="center"/>
        <w:rPr>
          <w:b/>
          <w:sz w:val="18"/>
        </w:rPr>
      </w:pPr>
      <w:r>
        <w:rPr>
          <w:b/>
          <w:sz w:val="18"/>
        </w:rPr>
        <w:t>CONSIDERATO CHE</w:t>
      </w:r>
    </w:p>
    <w:p>
      <w:pPr>
        <w:pStyle w:val="BodyText"/>
        <w:rPr>
          <w:b/>
          <w:sz w:val="24"/>
        </w:rPr>
      </w:pPr>
    </w:p>
    <w:p>
      <w:pPr>
        <w:pStyle w:val="BodyText"/>
        <w:spacing w:line="491" w:lineRule="auto"/>
        <w:ind w:left="400" w:right="2196"/>
        <w:jc w:val="both"/>
      </w:pPr>
      <w:r>
        <w:rPr>
          <w:w w:val="105"/>
        </w:rPr>
        <w:t>è in possesso dei requisiti di legge richiesti dall’art. 160 Legge Fallimentare per ottenere il beneficio del concordato preventivo;</w:t>
      </w:r>
    </w:p>
    <w:p>
      <w:pPr>
        <w:pStyle w:val="BodyText"/>
        <w:spacing w:line="491" w:lineRule="auto" w:before="1"/>
        <w:ind w:left="400" w:right="2195"/>
        <w:jc w:val="both"/>
      </w:pPr>
      <w:r>
        <w:rPr>
          <w:w w:val="105"/>
        </w:rPr>
        <w:t>vi sono motivate, comprovate e serie prospettive di pagare integralmente le spese</w:t>
      </w:r>
      <w:r>
        <w:rPr>
          <w:spacing w:val="-13"/>
          <w:w w:val="105"/>
        </w:rPr>
        <w:t> </w:t>
      </w:r>
      <w:r>
        <w:rPr>
          <w:w w:val="105"/>
        </w:rPr>
        <w:t>di</w:t>
      </w:r>
      <w:r>
        <w:rPr>
          <w:spacing w:val="-11"/>
          <w:w w:val="105"/>
        </w:rPr>
        <w:t> </w:t>
      </w:r>
      <w:r>
        <w:rPr>
          <w:w w:val="105"/>
        </w:rPr>
        <w:t>giustizia,</w:t>
      </w:r>
      <w:r>
        <w:rPr>
          <w:spacing w:val="-12"/>
          <w:w w:val="105"/>
        </w:rPr>
        <w:t> </w:t>
      </w:r>
      <w:r>
        <w:rPr>
          <w:w w:val="105"/>
        </w:rPr>
        <w:t>la</w:t>
      </w:r>
      <w:r>
        <w:rPr>
          <w:spacing w:val="-12"/>
          <w:w w:val="105"/>
        </w:rPr>
        <w:t> </w:t>
      </w:r>
      <w:r>
        <w:rPr>
          <w:w w:val="105"/>
        </w:rPr>
        <w:t>totalità</w:t>
      </w:r>
      <w:r>
        <w:rPr>
          <w:spacing w:val="-13"/>
          <w:w w:val="105"/>
        </w:rPr>
        <w:t> </w:t>
      </w:r>
      <w:r>
        <w:rPr>
          <w:w w:val="105"/>
        </w:rPr>
        <w:t>dei</w:t>
      </w:r>
      <w:r>
        <w:rPr>
          <w:spacing w:val="-12"/>
          <w:w w:val="105"/>
        </w:rPr>
        <w:t> </w:t>
      </w:r>
      <w:r>
        <w:rPr>
          <w:w w:val="105"/>
        </w:rPr>
        <w:t>creditori</w:t>
      </w:r>
      <w:r>
        <w:rPr>
          <w:spacing w:val="-12"/>
          <w:w w:val="105"/>
        </w:rPr>
        <w:t> </w:t>
      </w:r>
      <w:r>
        <w:rPr>
          <w:w w:val="105"/>
        </w:rPr>
        <w:t>prededucibili,</w:t>
      </w:r>
      <w:r>
        <w:rPr>
          <w:spacing w:val="-12"/>
          <w:w w:val="105"/>
        </w:rPr>
        <w:t> </w:t>
      </w:r>
      <w:r>
        <w:rPr>
          <w:w w:val="105"/>
        </w:rPr>
        <w:t>la</w:t>
      </w:r>
      <w:r>
        <w:rPr>
          <w:spacing w:val="-12"/>
          <w:w w:val="105"/>
        </w:rPr>
        <w:t> </w:t>
      </w:r>
      <w:r>
        <w:rPr>
          <w:w w:val="105"/>
        </w:rPr>
        <w:t>totalità</w:t>
      </w:r>
      <w:r>
        <w:rPr>
          <w:spacing w:val="-12"/>
          <w:w w:val="105"/>
        </w:rPr>
        <w:t> </w:t>
      </w:r>
      <w:r>
        <w:rPr>
          <w:w w:val="105"/>
        </w:rPr>
        <w:t>dei</w:t>
      </w:r>
      <w:r>
        <w:rPr>
          <w:spacing w:val="-12"/>
          <w:w w:val="105"/>
        </w:rPr>
        <w:t> </w:t>
      </w:r>
      <w:r>
        <w:rPr>
          <w:w w:val="105"/>
        </w:rPr>
        <w:t>creditori privilegiati;</w:t>
      </w:r>
    </w:p>
    <w:p>
      <w:pPr>
        <w:spacing w:before="34"/>
        <w:ind w:left="475" w:right="2273" w:firstLine="0"/>
        <w:jc w:val="center"/>
        <w:rPr>
          <w:b/>
          <w:sz w:val="18"/>
        </w:rPr>
      </w:pPr>
      <w:r>
        <w:rPr>
          <w:b/>
          <w:sz w:val="18"/>
        </w:rPr>
        <w:t>TENUTO CONTO CHE</w:t>
      </w:r>
    </w:p>
    <w:p>
      <w:pPr>
        <w:pStyle w:val="BodyText"/>
        <w:rPr>
          <w:b/>
          <w:sz w:val="24"/>
        </w:rPr>
      </w:pPr>
    </w:p>
    <w:p>
      <w:pPr>
        <w:pStyle w:val="BodyText"/>
        <w:spacing w:line="491" w:lineRule="auto"/>
        <w:ind w:left="400" w:right="2194"/>
        <w:jc w:val="both"/>
      </w:pPr>
      <w:r>
        <w:rPr>
          <w:w w:val="105"/>
        </w:rPr>
        <w:t>la prescritta relazione sulla situazione patrimoniale, economica e finanziaria della</w:t>
      </w:r>
      <w:r>
        <w:rPr>
          <w:spacing w:val="-4"/>
          <w:w w:val="105"/>
        </w:rPr>
        <w:t> </w:t>
      </w:r>
      <w:r>
        <w:rPr>
          <w:w w:val="105"/>
        </w:rPr>
        <w:t>scrivente</w:t>
      </w:r>
      <w:r>
        <w:rPr>
          <w:spacing w:val="-5"/>
          <w:w w:val="105"/>
        </w:rPr>
        <w:t> </w:t>
      </w:r>
      <w:r>
        <w:rPr>
          <w:w w:val="105"/>
        </w:rPr>
        <w:t>è</w:t>
      </w:r>
      <w:r>
        <w:rPr>
          <w:spacing w:val="-4"/>
          <w:w w:val="105"/>
        </w:rPr>
        <w:t> </w:t>
      </w:r>
      <w:r>
        <w:rPr>
          <w:w w:val="105"/>
        </w:rPr>
        <w:t>unita</w:t>
      </w:r>
      <w:r>
        <w:rPr>
          <w:spacing w:val="-6"/>
          <w:w w:val="105"/>
        </w:rPr>
        <w:t> </w:t>
      </w:r>
      <w:r>
        <w:rPr>
          <w:w w:val="105"/>
        </w:rPr>
        <w:t>alla</w:t>
      </w:r>
      <w:r>
        <w:rPr>
          <w:spacing w:val="-3"/>
          <w:w w:val="105"/>
        </w:rPr>
        <w:t> </w:t>
      </w:r>
      <w:r>
        <w:rPr>
          <w:w w:val="105"/>
        </w:rPr>
        <w:t>presente</w:t>
      </w:r>
      <w:r>
        <w:rPr>
          <w:spacing w:val="-3"/>
          <w:w w:val="105"/>
        </w:rPr>
        <w:t> </w:t>
      </w:r>
      <w:r>
        <w:rPr>
          <w:w w:val="105"/>
        </w:rPr>
        <w:t>memoria,</w:t>
      </w:r>
      <w:r>
        <w:rPr>
          <w:spacing w:val="-4"/>
          <w:w w:val="105"/>
        </w:rPr>
        <w:t> </w:t>
      </w:r>
      <w:r>
        <w:rPr>
          <w:w w:val="105"/>
        </w:rPr>
        <w:t>così</w:t>
      </w:r>
      <w:r>
        <w:rPr>
          <w:spacing w:val="-4"/>
          <w:w w:val="105"/>
        </w:rPr>
        <w:t> </w:t>
      </w:r>
      <w:r>
        <w:rPr>
          <w:w w:val="105"/>
        </w:rPr>
        <w:t>come</w:t>
      </w:r>
      <w:r>
        <w:rPr>
          <w:spacing w:val="-4"/>
          <w:w w:val="105"/>
        </w:rPr>
        <w:t> </w:t>
      </w:r>
      <w:r>
        <w:rPr>
          <w:w w:val="105"/>
        </w:rPr>
        <w:t>lo</w:t>
      </w:r>
      <w:r>
        <w:rPr>
          <w:spacing w:val="-6"/>
          <w:w w:val="105"/>
        </w:rPr>
        <w:t> </w:t>
      </w:r>
      <w:r>
        <w:rPr>
          <w:w w:val="105"/>
        </w:rPr>
        <w:t>stato</w:t>
      </w:r>
      <w:r>
        <w:rPr>
          <w:spacing w:val="-3"/>
          <w:w w:val="105"/>
        </w:rPr>
        <w:t> </w:t>
      </w:r>
      <w:r>
        <w:rPr>
          <w:w w:val="105"/>
        </w:rPr>
        <w:t>analitico</w:t>
      </w:r>
      <w:r>
        <w:rPr>
          <w:spacing w:val="-3"/>
          <w:w w:val="105"/>
        </w:rPr>
        <w:t> </w:t>
      </w:r>
      <w:r>
        <w:rPr>
          <w:w w:val="105"/>
        </w:rPr>
        <w:t>ed estimativo</w:t>
      </w:r>
      <w:r>
        <w:rPr>
          <w:spacing w:val="-14"/>
          <w:w w:val="105"/>
        </w:rPr>
        <w:t> </w:t>
      </w:r>
      <w:r>
        <w:rPr>
          <w:w w:val="105"/>
        </w:rPr>
        <w:t>delle</w:t>
      </w:r>
      <w:r>
        <w:rPr>
          <w:spacing w:val="-15"/>
          <w:w w:val="105"/>
        </w:rPr>
        <w:t> </w:t>
      </w:r>
      <w:r>
        <w:rPr>
          <w:w w:val="105"/>
        </w:rPr>
        <w:t>attività</w:t>
      </w:r>
      <w:r>
        <w:rPr>
          <w:spacing w:val="-13"/>
          <w:w w:val="105"/>
        </w:rPr>
        <w:t> </w:t>
      </w:r>
      <w:r>
        <w:rPr>
          <w:w w:val="105"/>
        </w:rPr>
        <w:t>ed</w:t>
      </w:r>
      <w:r>
        <w:rPr>
          <w:spacing w:val="-14"/>
          <w:w w:val="105"/>
        </w:rPr>
        <w:t> </w:t>
      </w:r>
      <w:r>
        <w:rPr>
          <w:w w:val="105"/>
        </w:rPr>
        <w:t>anche</w:t>
      </w:r>
      <w:r>
        <w:rPr>
          <w:spacing w:val="-13"/>
          <w:w w:val="105"/>
        </w:rPr>
        <w:t> </w:t>
      </w:r>
      <w:r>
        <w:rPr>
          <w:w w:val="105"/>
        </w:rPr>
        <w:t>l’indicazione</w:t>
      </w:r>
      <w:r>
        <w:rPr>
          <w:spacing w:val="-15"/>
          <w:w w:val="105"/>
        </w:rPr>
        <w:t> </w:t>
      </w:r>
      <w:r>
        <w:rPr>
          <w:w w:val="105"/>
        </w:rPr>
        <w:t>del</w:t>
      </w:r>
      <w:r>
        <w:rPr>
          <w:spacing w:val="-13"/>
          <w:w w:val="105"/>
        </w:rPr>
        <w:t> </w:t>
      </w:r>
      <w:r>
        <w:rPr>
          <w:w w:val="105"/>
        </w:rPr>
        <w:t>valore</w:t>
      </w:r>
      <w:r>
        <w:rPr>
          <w:spacing w:val="-14"/>
          <w:w w:val="105"/>
        </w:rPr>
        <w:t> </w:t>
      </w:r>
      <w:r>
        <w:rPr>
          <w:w w:val="105"/>
        </w:rPr>
        <w:t>dei</w:t>
      </w:r>
      <w:r>
        <w:rPr>
          <w:spacing w:val="-14"/>
          <w:w w:val="105"/>
        </w:rPr>
        <w:t> </w:t>
      </w:r>
      <w:r>
        <w:rPr>
          <w:w w:val="105"/>
        </w:rPr>
        <w:t>beni</w:t>
      </w:r>
      <w:r>
        <w:rPr>
          <w:spacing w:val="-14"/>
          <w:w w:val="105"/>
        </w:rPr>
        <w:t> </w:t>
      </w:r>
      <w:r>
        <w:rPr>
          <w:w w:val="105"/>
        </w:rPr>
        <w:t>unitamente al</w:t>
      </w:r>
      <w:r>
        <w:rPr>
          <w:spacing w:val="-17"/>
          <w:w w:val="105"/>
        </w:rPr>
        <w:t> </w:t>
      </w:r>
      <w:r>
        <w:rPr>
          <w:w w:val="105"/>
        </w:rPr>
        <w:t>Piano</w:t>
      </w:r>
      <w:r>
        <w:rPr>
          <w:spacing w:val="-18"/>
          <w:w w:val="105"/>
        </w:rPr>
        <w:t> </w:t>
      </w:r>
      <w:r>
        <w:rPr>
          <w:w w:val="105"/>
        </w:rPr>
        <w:t>di</w:t>
      </w:r>
      <w:r>
        <w:rPr>
          <w:spacing w:val="-17"/>
          <w:w w:val="105"/>
        </w:rPr>
        <w:t> </w:t>
      </w:r>
      <w:r>
        <w:rPr>
          <w:w w:val="105"/>
        </w:rPr>
        <w:t>concordato,</w:t>
      </w:r>
    </w:p>
    <w:p>
      <w:pPr>
        <w:pStyle w:val="BodyText"/>
        <w:spacing w:before="1"/>
        <w:ind w:left="400"/>
        <w:jc w:val="both"/>
      </w:pPr>
      <w:r>
        <w:rPr>
          <w:w w:val="105"/>
        </w:rPr>
        <w:t>si sono suddivisi i creditori in classi,</w:t>
      </w:r>
    </w:p>
    <w:p>
      <w:pPr>
        <w:pStyle w:val="BodyText"/>
        <w:spacing w:before="1"/>
        <w:rPr>
          <w:sz w:val="26"/>
        </w:rPr>
      </w:pPr>
    </w:p>
    <w:p>
      <w:pPr>
        <w:spacing w:before="0"/>
        <w:ind w:left="476" w:right="2273" w:firstLine="0"/>
        <w:jc w:val="center"/>
        <w:rPr>
          <w:b/>
          <w:sz w:val="18"/>
        </w:rPr>
      </w:pPr>
      <w:r>
        <w:rPr>
          <w:b/>
          <w:sz w:val="18"/>
        </w:rPr>
        <w:t>RISERVATA</w:t>
      </w:r>
    </w:p>
    <w:p>
      <w:pPr>
        <w:pStyle w:val="BodyText"/>
        <w:spacing w:before="1"/>
        <w:rPr>
          <w:b/>
          <w:sz w:val="24"/>
        </w:rPr>
      </w:pPr>
    </w:p>
    <w:p>
      <w:pPr>
        <w:pStyle w:val="BodyText"/>
        <w:spacing w:line="491" w:lineRule="auto"/>
        <w:ind w:left="400" w:right="2195"/>
        <w:jc w:val="both"/>
      </w:pPr>
      <w:r>
        <w:rPr>
          <w:w w:val="105"/>
        </w:rPr>
        <w:t>la presentazione di istanza per la sospensione e/o scioglimento ai sensi dell’art.</w:t>
      </w:r>
      <w:r>
        <w:rPr>
          <w:spacing w:val="-6"/>
          <w:w w:val="105"/>
        </w:rPr>
        <w:t> </w:t>
      </w:r>
      <w:r>
        <w:rPr>
          <w:w w:val="105"/>
        </w:rPr>
        <w:t>169</w:t>
      </w:r>
      <w:r>
        <w:rPr>
          <w:spacing w:val="-8"/>
          <w:w w:val="105"/>
        </w:rPr>
        <w:t> </w:t>
      </w:r>
      <w:r>
        <w:rPr>
          <w:w w:val="105"/>
        </w:rPr>
        <w:t>bis</w:t>
      </w:r>
      <w:r>
        <w:rPr>
          <w:spacing w:val="-6"/>
          <w:w w:val="105"/>
        </w:rPr>
        <w:t> </w:t>
      </w:r>
      <w:r>
        <w:rPr>
          <w:w w:val="105"/>
        </w:rPr>
        <w:t>legge</w:t>
      </w:r>
      <w:r>
        <w:rPr>
          <w:spacing w:val="-6"/>
          <w:w w:val="105"/>
        </w:rPr>
        <w:t> </w:t>
      </w:r>
      <w:r>
        <w:rPr>
          <w:w w:val="105"/>
        </w:rPr>
        <w:t>fall.</w:t>
      </w:r>
      <w:r>
        <w:rPr>
          <w:spacing w:val="-6"/>
          <w:w w:val="105"/>
        </w:rPr>
        <w:t> </w:t>
      </w:r>
      <w:r>
        <w:rPr>
          <w:w w:val="105"/>
        </w:rPr>
        <w:t>di</w:t>
      </w:r>
      <w:r>
        <w:rPr>
          <w:spacing w:val="-6"/>
          <w:w w:val="105"/>
        </w:rPr>
        <w:t> </w:t>
      </w:r>
      <w:r>
        <w:rPr>
          <w:w w:val="105"/>
        </w:rPr>
        <w:t>uno</w:t>
      </w:r>
      <w:r>
        <w:rPr>
          <w:spacing w:val="-7"/>
          <w:w w:val="105"/>
        </w:rPr>
        <w:t> </w:t>
      </w:r>
      <w:r>
        <w:rPr>
          <w:w w:val="105"/>
        </w:rPr>
        <w:t>o</w:t>
      </w:r>
      <w:r>
        <w:rPr>
          <w:spacing w:val="-6"/>
          <w:w w:val="105"/>
        </w:rPr>
        <w:t> </w:t>
      </w:r>
      <w:r>
        <w:rPr>
          <w:w w:val="105"/>
        </w:rPr>
        <w:t>più</w:t>
      </w:r>
      <w:r>
        <w:rPr>
          <w:spacing w:val="-7"/>
          <w:w w:val="105"/>
        </w:rPr>
        <w:t> </w:t>
      </w:r>
      <w:r>
        <w:rPr>
          <w:w w:val="105"/>
        </w:rPr>
        <w:t>dei</w:t>
      </w:r>
      <w:r>
        <w:rPr>
          <w:spacing w:val="-7"/>
          <w:w w:val="105"/>
        </w:rPr>
        <w:t> </w:t>
      </w:r>
      <w:r>
        <w:rPr>
          <w:w w:val="105"/>
        </w:rPr>
        <w:t>contratti</w:t>
      </w:r>
      <w:r>
        <w:rPr>
          <w:spacing w:val="-5"/>
          <w:w w:val="105"/>
        </w:rPr>
        <w:t> </w:t>
      </w:r>
      <w:r>
        <w:rPr>
          <w:w w:val="105"/>
        </w:rPr>
        <w:t>che</w:t>
      </w:r>
      <w:r>
        <w:rPr>
          <w:spacing w:val="-6"/>
          <w:w w:val="105"/>
        </w:rPr>
        <w:t> </w:t>
      </w:r>
      <w:r>
        <w:rPr>
          <w:w w:val="105"/>
        </w:rPr>
        <w:t>non</w:t>
      </w:r>
      <w:r>
        <w:rPr>
          <w:spacing w:val="-6"/>
          <w:w w:val="105"/>
        </w:rPr>
        <w:t> </w:t>
      </w:r>
      <w:r>
        <w:rPr>
          <w:w w:val="105"/>
        </w:rPr>
        <w:t>costituiscono</w:t>
      </w:r>
      <w:r>
        <w:rPr>
          <w:spacing w:val="-8"/>
          <w:w w:val="105"/>
        </w:rPr>
        <w:t> </w:t>
      </w:r>
      <w:r>
        <w:rPr>
          <w:w w:val="105"/>
        </w:rPr>
        <w:t>o, a</w:t>
      </w:r>
      <w:r>
        <w:rPr>
          <w:spacing w:val="-20"/>
          <w:w w:val="105"/>
        </w:rPr>
        <w:t> </w:t>
      </w:r>
      <w:r>
        <w:rPr>
          <w:w w:val="105"/>
        </w:rPr>
        <w:t>seconda</w:t>
      </w:r>
      <w:r>
        <w:rPr>
          <w:spacing w:val="-20"/>
          <w:w w:val="105"/>
        </w:rPr>
        <w:t> </w:t>
      </w:r>
      <w:r>
        <w:rPr>
          <w:w w:val="105"/>
        </w:rPr>
        <w:t>del</w:t>
      </w:r>
      <w:r>
        <w:rPr>
          <w:spacing w:val="-20"/>
          <w:w w:val="105"/>
        </w:rPr>
        <w:t> </w:t>
      </w:r>
      <w:r>
        <w:rPr>
          <w:w w:val="105"/>
        </w:rPr>
        <w:t>caso,</w:t>
      </w:r>
      <w:r>
        <w:rPr>
          <w:spacing w:val="-21"/>
          <w:w w:val="105"/>
        </w:rPr>
        <w:t> </w:t>
      </w:r>
      <w:r>
        <w:rPr>
          <w:w w:val="105"/>
        </w:rPr>
        <w:t>costituiscono</w:t>
      </w:r>
      <w:r>
        <w:rPr>
          <w:spacing w:val="-22"/>
          <w:w w:val="105"/>
        </w:rPr>
        <w:t> </w:t>
      </w:r>
      <w:r>
        <w:rPr>
          <w:w w:val="105"/>
        </w:rPr>
        <w:t>oggetto</w:t>
      </w:r>
      <w:r>
        <w:rPr>
          <w:spacing w:val="-20"/>
          <w:w w:val="105"/>
        </w:rPr>
        <w:t> </w:t>
      </w:r>
      <w:r>
        <w:rPr>
          <w:w w:val="105"/>
        </w:rPr>
        <w:t>del</w:t>
      </w:r>
      <w:r>
        <w:rPr>
          <w:spacing w:val="-20"/>
          <w:w w:val="105"/>
        </w:rPr>
        <w:t> </w:t>
      </w:r>
      <w:r>
        <w:rPr>
          <w:w w:val="105"/>
        </w:rPr>
        <w:t>perimetro</w:t>
      </w:r>
      <w:r>
        <w:rPr>
          <w:spacing w:val="-20"/>
          <w:w w:val="105"/>
        </w:rPr>
        <w:t> </w:t>
      </w:r>
      <w:r>
        <w:rPr>
          <w:w w:val="105"/>
        </w:rPr>
        <w:t>dell’Offerta</w:t>
      </w:r>
      <w:r>
        <w:rPr>
          <w:spacing w:val="-20"/>
          <w:w w:val="105"/>
        </w:rPr>
        <w:t> </w:t>
      </w:r>
      <w:r>
        <w:rPr>
          <w:w w:val="105"/>
        </w:rPr>
        <w:t>Versalis</w:t>
      </w:r>
    </w:p>
    <w:p>
      <w:pPr>
        <w:spacing w:before="35"/>
        <w:ind w:left="474" w:right="2273" w:firstLine="0"/>
        <w:jc w:val="center"/>
        <w:rPr>
          <w:b/>
          <w:sz w:val="18"/>
        </w:rPr>
      </w:pPr>
      <w:r>
        <w:rPr>
          <w:b/>
          <w:sz w:val="18"/>
        </w:rPr>
        <w:t>RITENUTA</w:t>
      </w:r>
    </w:p>
    <w:p>
      <w:pPr>
        <w:pStyle w:val="BodyText"/>
        <w:spacing w:before="11"/>
        <w:rPr>
          <w:b/>
          <w:sz w:val="23"/>
        </w:rPr>
      </w:pPr>
    </w:p>
    <w:p>
      <w:pPr>
        <w:pStyle w:val="BodyText"/>
        <w:spacing w:line="491" w:lineRule="auto"/>
        <w:ind w:left="400" w:right="2195"/>
        <w:jc w:val="both"/>
      </w:pPr>
      <w:r>
        <w:rPr>
          <w:w w:val="105"/>
        </w:rPr>
        <w:t>l’opportunità</w:t>
      </w:r>
      <w:r>
        <w:rPr>
          <w:spacing w:val="-6"/>
          <w:w w:val="105"/>
        </w:rPr>
        <w:t> </w:t>
      </w:r>
      <w:r>
        <w:rPr>
          <w:w w:val="105"/>
        </w:rPr>
        <w:t>che,</w:t>
      </w:r>
      <w:r>
        <w:rPr>
          <w:spacing w:val="-6"/>
          <w:w w:val="105"/>
        </w:rPr>
        <w:t> </w:t>
      </w:r>
      <w:r>
        <w:rPr>
          <w:w w:val="105"/>
        </w:rPr>
        <w:t>non</w:t>
      </w:r>
      <w:r>
        <w:rPr>
          <w:spacing w:val="-4"/>
          <w:w w:val="105"/>
        </w:rPr>
        <w:t> </w:t>
      </w:r>
      <w:r>
        <w:rPr>
          <w:w w:val="105"/>
        </w:rPr>
        <w:t>appena</w:t>
      </w:r>
      <w:r>
        <w:rPr>
          <w:spacing w:val="-5"/>
          <w:w w:val="105"/>
        </w:rPr>
        <w:t> </w:t>
      </w:r>
      <w:r>
        <w:rPr>
          <w:w w:val="105"/>
        </w:rPr>
        <w:t>sia</w:t>
      </w:r>
      <w:r>
        <w:rPr>
          <w:spacing w:val="-5"/>
          <w:w w:val="105"/>
        </w:rPr>
        <w:t> </w:t>
      </w:r>
      <w:r>
        <w:rPr>
          <w:w w:val="105"/>
        </w:rPr>
        <w:t>stato</w:t>
      </w:r>
      <w:r>
        <w:rPr>
          <w:spacing w:val="-4"/>
          <w:w w:val="105"/>
        </w:rPr>
        <w:t> </w:t>
      </w:r>
      <w:r>
        <w:rPr>
          <w:w w:val="105"/>
        </w:rPr>
        <w:t>pronunciato</w:t>
      </w:r>
      <w:r>
        <w:rPr>
          <w:spacing w:val="-6"/>
          <w:w w:val="105"/>
        </w:rPr>
        <w:t> </w:t>
      </w:r>
      <w:r>
        <w:rPr>
          <w:w w:val="105"/>
        </w:rPr>
        <w:t>decreto</w:t>
      </w:r>
      <w:r>
        <w:rPr>
          <w:spacing w:val="-5"/>
          <w:w w:val="105"/>
        </w:rPr>
        <w:t> </w:t>
      </w:r>
      <w:r>
        <w:rPr>
          <w:w w:val="105"/>
        </w:rPr>
        <w:t>di</w:t>
      </w:r>
      <w:r>
        <w:rPr>
          <w:spacing w:val="-4"/>
          <w:w w:val="105"/>
        </w:rPr>
        <w:t> </w:t>
      </w:r>
      <w:r>
        <w:rPr>
          <w:w w:val="105"/>
        </w:rPr>
        <w:t>ammissione, ai sensi dell’art. 163 legge fall. di Biochemtex, vengano immediatamente disposte le attività funzionali e propedeutiche all’apertura di una procedura competitiva</w:t>
      </w:r>
      <w:r>
        <w:rPr>
          <w:spacing w:val="-18"/>
          <w:w w:val="105"/>
        </w:rPr>
        <w:t> </w:t>
      </w:r>
      <w:r>
        <w:rPr>
          <w:w w:val="105"/>
        </w:rPr>
        <w:t>unitaria</w:t>
      </w:r>
      <w:r>
        <w:rPr>
          <w:spacing w:val="-18"/>
          <w:w w:val="105"/>
        </w:rPr>
        <w:t> </w:t>
      </w:r>
      <w:r>
        <w:rPr>
          <w:w w:val="105"/>
        </w:rPr>
        <w:t>ai</w:t>
      </w:r>
      <w:r>
        <w:rPr>
          <w:spacing w:val="-16"/>
          <w:w w:val="105"/>
        </w:rPr>
        <w:t> </w:t>
      </w:r>
      <w:r>
        <w:rPr>
          <w:w w:val="105"/>
        </w:rPr>
        <w:t>sensi</w:t>
      </w:r>
      <w:r>
        <w:rPr>
          <w:spacing w:val="-16"/>
          <w:w w:val="105"/>
        </w:rPr>
        <w:t> </w:t>
      </w:r>
      <w:r>
        <w:rPr>
          <w:w w:val="105"/>
        </w:rPr>
        <w:t>dell’art.</w:t>
      </w:r>
      <w:r>
        <w:rPr>
          <w:spacing w:val="-17"/>
          <w:w w:val="105"/>
        </w:rPr>
        <w:t> </w:t>
      </w:r>
      <w:r>
        <w:rPr>
          <w:w w:val="105"/>
        </w:rPr>
        <w:t>163</w:t>
      </w:r>
      <w:r>
        <w:rPr>
          <w:spacing w:val="-17"/>
          <w:w w:val="105"/>
        </w:rPr>
        <w:t> </w:t>
      </w:r>
      <w:r>
        <w:rPr>
          <w:i/>
          <w:w w:val="105"/>
        </w:rPr>
        <w:t>bis</w:t>
      </w:r>
      <w:r>
        <w:rPr>
          <w:i/>
          <w:spacing w:val="-18"/>
          <w:w w:val="105"/>
        </w:rPr>
        <w:t> </w:t>
      </w:r>
      <w:r>
        <w:rPr>
          <w:w w:val="105"/>
        </w:rPr>
        <w:t>legge</w:t>
      </w:r>
      <w:r>
        <w:rPr>
          <w:spacing w:val="-17"/>
          <w:w w:val="105"/>
        </w:rPr>
        <w:t> </w:t>
      </w:r>
      <w:r>
        <w:rPr>
          <w:w w:val="105"/>
        </w:rPr>
        <w:t>fall.</w:t>
      </w:r>
    </w:p>
    <w:p>
      <w:pPr>
        <w:pStyle w:val="Heading2"/>
        <w:spacing w:before="1"/>
        <w:ind w:right="2273"/>
      </w:pPr>
      <w:r>
        <w:rPr>
          <w:w w:val="105"/>
        </w:rPr>
        <w:t>CHIEDE</w:t>
      </w:r>
    </w:p>
    <w:p>
      <w:pPr>
        <w:spacing w:after="0"/>
        <w:sectPr>
          <w:pgSz w:w="12240" w:h="15840"/>
          <w:pgMar w:header="0" w:footer="790" w:top="1500" w:bottom="980" w:left="1720" w:right="1200"/>
        </w:sectPr>
      </w:pPr>
    </w:p>
    <w:p>
      <w:pPr>
        <w:pStyle w:val="ListParagraph"/>
        <w:numPr>
          <w:ilvl w:val="0"/>
          <w:numId w:val="36"/>
        </w:numPr>
        <w:tabs>
          <w:tab w:pos="1079" w:val="left" w:leader="none"/>
        </w:tabs>
        <w:spacing w:line="465" w:lineRule="auto" w:before="105" w:after="0"/>
        <w:ind w:left="1078" w:right="2195" w:hanging="340"/>
        <w:jc w:val="both"/>
        <w:rPr>
          <w:sz w:val="22"/>
        </w:rPr>
      </w:pPr>
      <w:r>
        <w:rPr>
          <w:w w:val="105"/>
          <w:sz w:val="22"/>
        </w:rPr>
        <w:t>di</w:t>
      </w:r>
      <w:r>
        <w:rPr>
          <w:spacing w:val="-6"/>
          <w:w w:val="105"/>
          <w:sz w:val="22"/>
        </w:rPr>
        <w:t> </w:t>
      </w:r>
      <w:r>
        <w:rPr>
          <w:w w:val="105"/>
          <w:sz w:val="22"/>
        </w:rPr>
        <w:t>respingere</w:t>
      </w:r>
      <w:r>
        <w:rPr>
          <w:spacing w:val="-6"/>
          <w:w w:val="105"/>
          <w:sz w:val="22"/>
        </w:rPr>
        <w:t> </w:t>
      </w:r>
      <w:r>
        <w:rPr>
          <w:w w:val="105"/>
          <w:sz w:val="22"/>
        </w:rPr>
        <w:t>ogni</w:t>
      </w:r>
      <w:r>
        <w:rPr>
          <w:spacing w:val="-5"/>
          <w:w w:val="105"/>
          <w:sz w:val="22"/>
        </w:rPr>
        <w:t> </w:t>
      </w:r>
      <w:r>
        <w:rPr>
          <w:w w:val="105"/>
          <w:sz w:val="22"/>
        </w:rPr>
        <w:t>eventuale</w:t>
      </w:r>
      <w:r>
        <w:rPr>
          <w:spacing w:val="-6"/>
          <w:w w:val="105"/>
          <w:sz w:val="22"/>
        </w:rPr>
        <w:t> </w:t>
      </w:r>
      <w:r>
        <w:rPr>
          <w:w w:val="105"/>
          <w:sz w:val="22"/>
        </w:rPr>
        <w:t>istanza</w:t>
      </w:r>
      <w:r>
        <w:rPr>
          <w:spacing w:val="-5"/>
          <w:w w:val="105"/>
          <w:sz w:val="22"/>
        </w:rPr>
        <w:t> </w:t>
      </w:r>
      <w:r>
        <w:rPr>
          <w:w w:val="105"/>
          <w:sz w:val="22"/>
        </w:rPr>
        <w:t>di</w:t>
      </w:r>
      <w:r>
        <w:rPr>
          <w:spacing w:val="-6"/>
          <w:w w:val="105"/>
          <w:sz w:val="22"/>
        </w:rPr>
        <w:t> </w:t>
      </w:r>
      <w:r>
        <w:rPr>
          <w:w w:val="105"/>
          <w:sz w:val="22"/>
        </w:rPr>
        <w:t>fallimento</w:t>
      </w:r>
      <w:r>
        <w:rPr>
          <w:spacing w:val="-6"/>
          <w:w w:val="105"/>
          <w:sz w:val="22"/>
        </w:rPr>
        <w:t> </w:t>
      </w:r>
      <w:r>
        <w:rPr>
          <w:w w:val="105"/>
          <w:sz w:val="22"/>
        </w:rPr>
        <w:t>che</w:t>
      </w:r>
      <w:r>
        <w:rPr>
          <w:spacing w:val="-6"/>
          <w:w w:val="105"/>
          <w:sz w:val="22"/>
        </w:rPr>
        <w:t> </w:t>
      </w:r>
      <w:r>
        <w:rPr>
          <w:w w:val="105"/>
          <w:sz w:val="22"/>
        </w:rPr>
        <w:t>dovesse</w:t>
      </w:r>
      <w:r>
        <w:rPr>
          <w:spacing w:val="-6"/>
          <w:w w:val="105"/>
          <w:sz w:val="22"/>
        </w:rPr>
        <w:t> </w:t>
      </w:r>
      <w:r>
        <w:rPr>
          <w:w w:val="105"/>
          <w:sz w:val="22"/>
        </w:rPr>
        <w:t>essere </w:t>
      </w:r>
      <w:r>
        <w:rPr>
          <w:sz w:val="22"/>
        </w:rPr>
        <w:t>stata</w:t>
      </w:r>
      <w:r>
        <w:rPr>
          <w:spacing w:val="21"/>
          <w:sz w:val="22"/>
        </w:rPr>
        <w:t> </w:t>
      </w:r>
      <w:r>
        <w:rPr>
          <w:sz w:val="22"/>
        </w:rPr>
        <w:t>presentata;</w:t>
      </w:r>
    </w:p>
    <w:p>
      <w:pPr>
        <w:pStyle w:val="ListParagraph"/>
        <w:numPr>
          <w:ilvl w:val="0"/>
          <w:numId w:val="36"/>
        </w:numPr>
        <w:tabs>
          <w:tab w:pos="1079" w:val="left" w:leader="none"/>
        </w:tabs>
        <w:spacing w:line="477" w:lineRule="auto" w:before="27" w:after="0"/>
        <w:ind w:left="1078" w:right="2195" w:hanging="340"/>
        <w:jc w:val="both"/>
        <w:rPr>
          <w:sz w:val="22"/>
        </w:rPr>
      </w:pPr>
      <w:r>
        <w:rPr>
          <w:w w:val="105"/>
          <w:sz w:val="22"/>
        </w:rPr>
        <w:t>di essere ammessa al beneficio del Concordato Preventivo con l’illustrato Piano, che prevede, nel rispetto dell’ordine legale dei privilegi:</w:t>
      </w:r>
    </w:p>
    <w:p>
      <w:pPr>
        <w:pStyle w:val="ListParagraph"/>
        <w:numPr>
          <w:ilvl w:val="0"/>
          <w:numId w:val="37"/>
        </w:numPr>
        <w:tabs>
          <w:tab w:pos="1067" w:val="left" w:leader="none"/>
          <w:tab w:pos="1068" w:val="left" w:leader="none"/>
        </w:tabs>
        <w:spacing w:line="240" w:lineRule="auto" w:before="15" w:after="0"/>
        <w:ind w:left="1078" w:right="0" w:hanging="410"/>
        <w:jc w:val="left"/>
        <w:rPr>
          <w:sz w:val="22"/>
        </w:rPr>
      </w:pPr>
      <w:r>
        <w:rPr>
          <w:w w:val="105"/>
          <w:sz w:val="22"/>
        </w:rPr>
        <w:t>il</w:t>
      </w:r>
      <w:r>
        <w:rPr>
          <w:spacing w:val="-21"/>
          <w:w w:val="105"/>
          <w:sz w:val="22"/>
        </w:rPr>
        <w:t> </w:t>
      </w:r>
      <w:r>
        <w:rPr>
          <w:w w:val="105"/>
          <w:sz w:val="22"/>
        </w:rPr>
        <w:t>pagamento</w:t>
      </w:r>
      <w:r>
        <w:rPr>
          <w:spacing w:val="-21"/>
          <w:w w:val="105"/>
          <w:sz w:val="22"/>
        </w:rPr>
        <w:t> </w:t>
      </w:r>
      <w:r>
        <w:rPr>
          <w:w w:val="105"/>
          <w:sz w:val="22"/>
        </w:rPr>
        <w:t>integrale</w:t>
      </w:r>
      <w:r>
        <w:rPr>
          <w:spacing w:val="-22"/>
          <w:w w:val="105"/>
          <w:sz w:val="22"/>
        </w:rPr>
        <w:t> </w:t>
      </w:r>
      <w:r>
        <w:rPr>
          <w:w w:val="105"/>
          <w:sz w:val="22"/>
        </w:rPr>
        <w:t>degli</w:t>
      </w:r>
      <w:r>
        <w:rPr>
          <w:spacing w:val="-22"/>
          <w:w w:val="105"/>
          <w:sz w:val="22"/>
        </w:rPr>
        <w:t> </w:t>
      </w:r>
      <w:r>
        <w:rPr>
          <w:w w:val="105"/>
          <w:sz w:val="22"/>
        </w:rPr>
        <w:t>oneri</w:t>
      </w:r>
      <w:r>
        <w:rPr>
          <w:spacing w:val="-22"/>
          <w:w w:val="105"/>
          <w:sz w:val="22"/>
        </w:rPr>
        <w:t> </w:t>
      </w:r>
      <w:r>
        <w:rPr>
          <w:w w:val="105"/>
          <w:sz w:val="22"/>
        </w:rPr>
        <w:t>di</w:t>
      </w:r>
      <w:r>
        <w:rPr>
          <w:spacing w:val="-21"/>
          <w:w w:val="105"/>
          <w:sz w:val="22"/>
        </w:rPr>
        <w:t> </w:t>
      </w:r>
      <w:r>
        <w:rPr>
          <w:w w:val="105"/>
          <w:sz w:val="22"/>
        </w:rPr>
        <w:t>ristrutturazione;</w:t>
      </w:r>
    </w:p>
    <w:p>
      <w:pPr>
        <w:pStyle w:val="BodyText"/>
        <w:spacing w:before="2"/>
        <w:rPr>
          <w:sz w:val="23"/>
        </w:rPr>
      </w:pPr>
    </w:p>
    <w:p>
      <w:pPr>
        <w:pStyle w:val="ListParagraph"/>
        <w:numPr>
          <w:ilvl w:val="0"/>
          <w:numId w:val="37"/>
        </w:numPr>
        <w:tabs>
          <w:tab w:pos="1079" w:val="left" w:leader="none"/>
        </w:tabs>
        <w:spacing w:line="491" w:lineRule="auto" w:before="0" w:after="0"/>
        <w:ind w:left="1078" w:right="2194" w:hanging="410"/>
        <w:jc w:val="both"/>
        <w:rPr>
          <w:sz w:val="22"/>
        </w:rPr>
      </w:pPr>
      <w:r>
        <w:rPr>
          <w:w w:val="105"/>
          <w:sz w:val="22"/>
        </w:rPr>
        <w:t>il</w:t>
      </w:r>
      <w:r>
        <w:rPr>
          <w:spacing w:val="-9"/>
          <w:w w:val="105"/>
          <w:sz w:val="22"/>
        </w:rPr>
        <w:t> </w:t>
      </w:r>
      <w:r>
        <w:rPr>
          <w:w w:val="105"/>
          <w:sz w:val="22"/>
        </w:rPr>
        <w:t>pagamento</w:t>
      </w:r>
      <w:r>
        <w:rPr>
          <w:spacing w:val="-8"/>
          <w:w w:val="105"/>
          <w:sz w:val="22"/>
        </w:rPr>
        <w:t> </w:t>
      </w:r>
      <w:r>
        <w:rPr>
          <w:w w:val="105"/>
          <w:sz w:val="22"/>
        </w:rPr>
        <w:t>integrale,</w:t>
      </w:r>
      <w:r>
        <w:rPr>
          <w:spacing w:val="-10"/>
          <w:w w:val="105"/>
          <w:sz w:val="22"/>
        </w:rPr>
        <w:t> </w:t>
      </w:r>
      <w:r>
        <w:rPr>
          <w:w w:val="105"/>
          <w:sz w:val="22"/>
        </w:rPr>
        <w:t>in</w:t>
      </w:r>
      <w:r>
        <w:rPr>
          <w:spacing w:val="-8"/>
          <w:w w:val="105"/>
          <w:sz w:val="22"/>
        </w:rPr>
        <w:t> </w:t>
      </w:r>
      <w:r>
        <w:rPr>
          <w:w w:val="105"/>
          <w:sz w:val="22"/>
        </w:rPr>
        <w:t>base</w:t>
      </w:r>
      <w:r>
        <w:rPr>
          <w:spacing w:val="-8"/>
          <w:w w:val="105"/>
          <w:sz w:val="22"/>
        </w:rPr>
        <w:t> </w:t>
      </w:r>
      <w:r>
        <w:rPr>
          <w:w w:val="105"/>
          <w:sz w:val="22"/>
        </w:rPr>
        <w:t>alla</w:t>
      </w:r>
      <w:r>
        <w:rPr>
          <w:spacing w:val="-10"/>
          <w:w w:val="105"/>
          <w:sz w:val="22"/>
        </w:rPr>
        <w:t> </w:t>
      </w:r>
      <w:r>
        <w:rPr>
          <w:w w:val="105"/>
          <w:sz w:val="22"/>
        </w:rPr>
        <w:t>scadenza</w:t>
      </w:r>
      <w:r>
        <w:rPr>
          <w:spacing w:val="-9"/>
          <w:w w:val="105"/>
          <w:sz w:val="22"/>
        </w:rPr>
        <w:t> </w:t>
      </w:r>
      <w:r>
        <w:rPr>
          <w:w w:val="105"/>
          <w:sz w:val="22"/>
        </w:rPr>
        <w:t>naturale</w:t>
      </w:r>
      <w:r>
        <w:rPr>
          <w:spacing w:val="-8"/>
          <w:w w:val="105"/>
          <w:sz w:val="22"/>
        </w:rPr>
        <w:t> </w:t>
      </w:r>
      <w:r>
        <w:rPr>
          <w:w w:val="105"/>
          <w:sz w:val="22"/>
        </w:rPr>
        <w:t>degli</w:t>
      </w:r>
      <w:r>
        <w:rPr>
          <w:spacing w:val="-9"/>
          <w:w w:val="105"/>
          <w:sz w:val="22"/>
        </w:rPr>
        <w:t> </w:t>
      </w:r>
      <w:r>
        <w:rPr>
          <w:w w:val="105"/>
          <w:sz w:val="22"/>
        </w:rPr>
        <w:t>stessi</w:t>
      </w:r>
      <w:r>
        <w:rPr>
          <w:spacing w:val="-9"/>
          <w:w w:val="105"/>
          <w:sz w:val="22"/>
        </w:rPr>
        <w:t> </w:t>
      </w:r>
      <w:r>
        <w:rPr>
          <w:w w:val="105"/>
          <w:sz w:val="22"/>
        </w:rPr>
        <w:t>(cfr. piano di cassa marzo 2018 – luglio 2018), dei debiti previsti per il mantenimento del Ramo Biochemtex fino alla cessione del medesimo a Versalis o altro soggetto che ne risulterà aggiudicatario all’esito</w:t>
      </w:r>
      <w:r>
        <w:rPr>
          <w:spacing w:val="-17"/>
          <w:w w:val="105"/>
          <w:sz w:val="22"/>
        </w:rPr>
        <w:t> </w:t>
      </w:r>
      <w:r>
        <w:rPr>
          <w:w w:val="105"/>
          <w:sz w:val="22"/>
        </w:rPr>
        <w:t>dell’asta</w:t>
      </w:r>
      <w:r>
        <w:rPr>
          <w:spacing w:val="-18"/>
          <w:w w:val="105"/>
          <w:sz w:val="22"/>
        </w:rPr>
        <w:t> </w:t>
      </w:r>
      <w:r>
        <w:rPr>
          <w:w w:val="105"/>
          <w:sz w:val="22"/>
        </w:rPr>
        <w:t>competitiva</w:t>
      </w:r>
      <w:r>
        <w:rPr>
          <w:spacing w:val="-18"/>
          <w:w w:val="105"/>
          <w:sz w:val="22"/>
        </w:rPr>
        <w:t> </w:t>
      </w:r>
      <w:r>
        <w:rPr>
          <w:w w:val="105"/>
          <w:sz w:val="22"/>
        </w:rPr>
        <w:t>ex</w:t>
      </w:r>
      <w:r>
        <w:rPr>
          <w:spacing w:val="-19"/>
          <w:w w:val="105"/>
          <w:sz w:val="22"/>
        </w:rPr>
        <w:t> </w:t>
      </w:r>
      <w:r>
        <w:rPr>
          <w:w w:val="105"/>
          <w:sz w:val="22"/>
        </w:rPr>
        <w:t>art.</w:t>
      </w:r>
      <w:r>
        <w:rPr>
          <w:spacing w:val="-18"/>
          <w:w w:val="105"/>
          <w:sz w:val="22"/>
        </w:rPr>
        <w:t> </w:t>
      </w:r>
      <w:r>
        <w:rPr>
          <w:w w:val="105"/>
          <w:sz w:val="22"/>
        </w:rPr>
        <w:t>163-bis</w:t>
      </w:r>
      <w:r>
        <w:rPr>
          <w:spacing w:val="-18"/>
          <w:w w:val="105"/>
          <w:sz w:val="22"/>
        </w:rPr>
        <w:t> </w:t>
      </w:r>
      <w:r>
        <w:rPr>
          <w:w w:val="105"/>
          <w:sz w:val="22"/>
        </w:rPr>
        <w:t>l.</w:t>
      </w:r>
      <w:r>
        <w:rPr>
          <w:spacing w:val="-17"/>
          <w:w w:val="105"/>
          <w:sz w:val="22"/>
        </w:rPr>
        <w:t> </w:t>
      </w:r>
      <w:r>
        <w:rPr>
          <w:w w:val="105"/>
          <w:sz w:val="22"/>
        </w:rPr>
        <w:t>fall.;</w:t>
      </w:r>
    </w:p>
    <w:p>
      <w:pPr>
        <w:pStyle w:val="ListParagraph"/>
        <w:numPr>
          <w:ilvl w:val="0"/>
          <w:numId w:val="37"/>
        </w:numPr>
        <w:tabs>
          <w:tab w:pos="1068" w:val="left" w:leader="none"/>
        </w:tabs>
        <w:spacing w:line="491" w:lineRule="auto" w:before="1" w:after="0"/>
        <w:ind w:left="1067" w:right="2196" w:hanging="400"/>
        <w:jc w:val="both"/>
        <w:rPr>
          <w:sz w:val="22"/>
        </w:rPr>
      </w:pPr>
      <w:r>
        <w:rPr>
          <w:w w:val="105"/>
          <w:sz w:val="22"/>
        </w:rPr>
        <w:t>il pagamento integrale dei crediti di lavoro e dei relativi interessi, in parte mediante previsione di accollo da parte dell’aggiudicatario del Ramo Biochemtex e, in altra parte, direttamente, </w:t>
      </w:r>
      <w:r>
        <w:rPr>
          <w:w w:val="105"/>
          <w:sz w:val="22"/>
          <w:u w:val="single"/>
        </w:rPr>
        <w:t>entro 3 (tre) </w:t>
      </w:r>
      <w:r>
        <w:rPr>
          <w:spacing w:val="40"/>
          <w:w w:val="105"/>
          <w:sz w:val="22"/>
          <w:u w:val="single"/>
        </w:rPr>
        <w:t> </w:t>
      </w:r>
      <w:r>
        <w:rPr>
          <w:w w:val="105"/>
          <w:sz w:val="22"/>
          <w:u w:val="single"/>
        </w:rPr>
        <w:t>mesi</w:t>
      </w:r>
    </w:p>
    <w:p>
      <w:pPr>
        <w:pStyle w:val="BodyText"/>
        <w:spacing w:line="491" w:lineRule="auto" w:before="1"/>
        <w:ind w:left="1067" w:right="2200"/>
      </w:pPr>
      <w:r>
        <w:rPr>
          <w:w w:val="105"/>
        </w:rPr>
        <w:t>dal Decreto di Omologazione, salva autorizzazione a riparti anticipati;</w:t>
      </w:r>
    </w:p>
    <w:p>
      <w:pPr>
        <w:pStyle w:val="ListParagraph"/>
        <w:numPr>
          <w:ilvl w:val="0"/>
          <w:numId w:val="37"/>
        </w:numPr>
        <w:tabs>
          <w:tab w:pos="1068" w:val="left" w:leader="none"/>
        </w:tabs>
        <w:spacing w:line="491" w:lineRule="auto" w:before="1" w:after="0"/>
        <w:ind w:left="1067" w:right="2196" w:hanging="399"/>
        <w:jc w:val="both"/>
        <w:rPr>
          <w:sz w:val="22"/>
        </w:rPr>
      </w:pPr>
      <w:r>
        <w:rPr>
          <w:w w:val="105"/>
          <w:sz w:val="22"/>
        </w:rPr>
        <w:t>il</w:t>
      </w:r>
      <w:r>
        <w:rPr>
          <w:spacing w:val="-13"/>
          <w:w w:val="105"/>
          <w:sz w:val="22"/>
        </w:rPr>
        <w:t> </w:t>
      </w:r>
      <w:r>
        <w:rPr>
          <w:w w:val="105"/>
          <w:sz w:val="22"/>
        </w:rPr>
        <w:t>pagamento</w:t>
      </w:r>
      <w:r>
        <w:rPr>
          <w:spacing w:val="-12"/>
          <w:w w:val="105"/>
          <w:sz w:val="22"/>
        </w:rPr>
        <w:t> </w:t>
      </w:r>
      <w:r>
        <w:rPr>
          <w:w w:val="105"/>
          <w:sz w:val="22"/>
        </w:rPr>
        <w:t>integrale</w:t>
      </w:r>
      <w:r>
        <w:rPr>
          <w:spacing w:val="-13"/>
          <w:w w:val="105"/>
          <w:sz w:val="22"/>
        </w:rPr>
        <w:t> </w:t>
      </w:r>
      <w:r>
        <w:rPr>
          <w:w w:val="105"/>
          <w:sz w:val="22"/>
        </w:rPr>
        <w:t>dei</w:t>
      </w:r>
      <w:r>
        <w:rPr>
          <w:spacing w:val="-13"/>
          <w:w w:val="105"/>
          <w:sz w:val="22"/>
        </w:rPr>
        <w:t> </w:t>
      </w:r>
      <w:r>
        <w:rPr>
          <w:w w:val="105"/>
          <w:sz w:val="22"/>
        </w:rPr>
        <w:t>crediti</w:t>
      </w:r>
      <w:r>
        <w:rPr>
          <w:spacing w:val="-14"/>
          <w:w w:val="105"/>
          <w:sz w:val="22"/>
        </w:rPr>
        <w:t> </w:t>
      </w:r>
      <w:r>
        <w:rPr>
          <w:w w:val="105"/>
          <w:sz w:val="22"/>
        </w:rPr>
        <w:t>privilegiati</w:t>
      </w:r>
      <w:r>
        <w:rPr>
          <w:spacing w:val="-13"/>
          <w:w w:val="105"/>
          <w:sz w:val="22"/>
        </w:rPr>
        <w:t> </w:t>
      </w:r>
      <w:r>
        <w:rPr>
          <w:w w:val="105"/>
          <w:sz w:val="22"/>
        </w:rPr>
        <w:t>generali,</w:t>
      </w:r>
      <w:r>
        <w:rPr>
          <w:spacing w:val="-13"/>
          <w:w w:val="105"/>
          <w:sz w:val="22"/>
        </w:rPr>
        <w:t> </w:t>
      </w:r>
      <w:r>
        <w:rPr>
          <w:w w:val="105"/>
          <w:sz w:val="22"/>
        </w:rPr>
        <w:t>diversi</w:t>
      </w:r>
      <w:r>
        <w:rPr>
          <w:spacing w:val="-13"/>
          <w:w w:val="105"/>
          <w:sz w:val="22"/>
        </w:rPr>
        <w:t> </w:t>
      </w:r>
      <w:r>
        <w:rPr>
          <w:w w:val="105"/>
          <w:sz w:val="22"/>
        </w:rPr>
        <w:t>da</w:t>
      </w:r>
      <w:r>
        <w:rPr>
          <w:spacing w:val="-14"/>
          <w:w w:val="105"/>
          <w:sz w:val="22"/>
        </w:rPr>
        <w:t> </w:t>
      </w:r>
      <w:r>
        <w:rPr>
          <w:w w:val="105"/>
          <w:sz w:val="22"/>
        </w:rPr>
        <w:t>quelli di cui al precedente punto c. ed anche di natura erariale e previdenziale,</w:t>
      </w:r>
      <w:r>
        <w:rPr>
          <w:spacing w:val="-11"/>
          <w:w w:val="105"/>
          <w:sz w:val="22"/>
        </w:rPr>
        <w:t> </w:t>
      </w:r>
      <w:r>
        <w:rPr>
          <w:w w:val="105"/>
          <w:sz w:val="22"/>
        </w:rPr>
        <w:t>e</w:t>
      </w:r>
      <w:r>
        <w:rPr>
          <w:spacing w:val="-11"/>
          <w:w w:val="105"/>
          <w:sz w:val="22"/>
        </w:rPr>
        <w:t> </w:t>
      </w:r>
      <w:r>
        <w:rPr>
          <w:w w:val="105"/>
          <w:sz w:val="22"/>
        </w:rPr>
        <w:t>dei</w:t>
      </w:r>
      <w:r>
        <w:rPr>
          <w:spacing w:val="-12"/>
          <w:w w:val="105"/>
          <w:sz w:val="22"/>
        </w:rPr>
        <w:t> </w:t>
      </w:r>
      <w:r>
        <w:rPr>
          <w:w w:val="105"/>
          <w:sz w:val="22"/>
        </w:rPr>
        <w:t>relativi</w:t>
      </w:r>
      <w:r>
        <w:rPr>
          <w:spacing w:val="-11"/>
          <w:w w:val="105"/>
          <w:sz w:val="22"/>
        </w:rPr>
        <w:t> </w:t>
      </w:r>
      <w:r>
        <w:rPr>
          <w:w w:val="105"/>
          <w:sz w:val="22"/>
        </w:rPr>
        <w:t>interessi,</w:t>
      </w:r>
      <w:r>
        <w:rPr>
          <w:spacing w:val="-11"/>
          <w:w w:val="105"/>
          <w:sz w:val="22"/>
        </w:rPr>
        <w:t> </w:t>
      </w:r>
      <w:r>
        <w:rPr>
          <w:w w:val="105"/>
          <w:sz w:val="22"/>
          <w:u w:val="single"/>
        </w:rPr>
        <w:t>entro</w:t>
      </w:r>
      <w:r>
        <w:rPr>
          <w:spacing w:val="-13"/>
          <w:w w:val="105"/>
          <w:sz w:val="22"/>
          <w:u w:val="single"/>
        </w:rPr>
        <w:t> </w:t>
      </w:r>
      <w:r>
        <w:rPr>
          <w:w w:val="105"/>
          <w:sz w:val="22"/>
          <w:u w:val="single"/>
        </w:rPr>
        <w:t>3</w:t>
      </w:r>
      <w:r>
        <w:rPr>
          <w:spacing w:val="-11"/>
          <w:w w:val="105"/>
          <w:sz w:val="22"/>
          <w:u w:val="single"/>
        </w:rPr>
        <w:t> </w:t>
      </w:r>
      <w:r>
        <w:rPr>
          <w:w w:val="105"/>
          <w:sz w:val="22"/>
          <w:u w:val="single"/>
        </w:rPr>
        <w:t>(tre)</w:t>
      </w:r>
      <w:r>
        <w:rPr>
          <w:spacing w:val="-12"/>
          <w:w w:val="105"/>
          <w:sz w:val="22"/>
          <w:u w:val="single"/>
        </w:rPr>
        <w:t> </w:t>
      </w:r>
      <w:r>
        <w:rPr>
          <w:w w:val="105"/>
          <w:sz w:val="22"/>
          <w:u w:val="single"/>
        </w:rPr>
        <w:t>mesi</w:t>
      </w:r>
      <w:r>
        <w:rPr>
          <w:spacing w:val="-11"/>
          <w:w w:val="105"/>
          <w:sz w:val="22"/>
          <w:u w:val="single"/>
        </w:rPr>
        <w:t> </w:t>
      </w:r>
      <w:r>
        <w:rPr>
          <w:w w:val="105"/>
          <w:sz w:val="22"/>
        </w:rPr>
        <w:t>dal</w:t>
      </w:r>
      <w:r>
        <w:rPr>
          <w:spacing w:val="-11"/>
          <w:w w:val="105"/>
          <w:sz w:val="22"/>
        </w:rPr>
        <w:t> </w:t>
      </w:r>
      <w:r>
        <w:rPr>
          <w:w w:val="105"/>
          <w:sz w:val="22"/>
        </w:rPr>
        <w:t>Decreto</w:t>
      </w:r>
      <w:r>
        <w:rPr>
          <w:spacing w:val="-11"/>
          <w:w w:val="105"/>
          <w:sz w:val="22"/>
        </w:rPr>
        <w:t> </w:t>
      </w:r>
      <w:r>
        <w:rPr>
          <w:w w:val="105"/>
          <w:sz w:val="22"/>
        </w:rPr>
        <w:t>di</w:t>
      </w:r>
    </w:p>
    <w:p>
      <w:pPr>
        <w:pStyle w:val="BodyText"/>
        <w:spacing w:before="1"/>
        <w:ind w:left="1067"/>
      </w:pPr>
      <w:r>
        <w:rPr>
          <w:w w:val="105"/>
        </w:rPr>
        <w:t>Omologazione, salva autorizzazione a riparti anticipati;</w:t>
      </w:r>
    </w:p>
    <w:p>
      <w:pPr>
        <w:pStyle w:val="BodyText"/>
        <w:rPr>
          <w:sz w:val="23"/>
        </w:rPr>
      </w:pPr>
    </w:p>
    <w:p>
      <w:pPr>
        <w:pStyle w:val="ListParagraph"/>
        <w:numPr>
          <w:ilvl w:val="0"/>
          <w:numId w:val="37"/>
        </w:numPr>
        <w:tabs>
          <w:tab w:pos="1067" w:val="left" w:leader="none"/>
          <w:tab w:pos="1068" w:val="left" w:leader="none"/>
        </w:tabs>
        <w:spacing w:line="491" w:lineRule="auto" w:before="1" w:after="0"/>
        <w:ind w:left="1067" w:right="2196" w:hanging="399"/>
        <w:jc w:val="left"/>
        <w:rPr>
          <w:sz w:val="22"/>
        </w:rPr>
      </w:pPr>
      <w:r>
        <w:rPr>
          <w:w w:val="105"/>
          <w:sz w:val="22"/>
        </w:rPr>
        <w:t>la suddivisione degli altri creditori in 3 (tre) classi, di cui due con diritto di</w:t>
      </w:r>
      <w:r>
        <w:rPr>
          <w:spacing w:val="-33"/>
          <w:w w:val="105"/>
          <w:sz w:val="22"/>
        </w:rPr>
        <w:t> </w:t>
      </w:r>
      <w:r>
        <w:rPr>
          <w:w w:val="105"/>
          <w:sz w:val="22"/>
        </w:rPr>
        <w:t>voto:</w:t>
      </w:r>
    </w:p>
    <w:p>
      <w:pPr>
        <w:pStyle w:val="ListParagraph"/>
        <w:numPr>
          <w:ilvl w:val="1"/>
          <w:numId w:val="37"/>
        </w:numPr>
        <w:tabs>
          <w:tab w:pos="1467" w:val="left" w:leader="none"/>
          <w:tab w:pos="1468" w:val="left" w:leader="none"/>
        </w:tabs>
        <w:spacing w:line="463" w:lineRule="auto" w:before="1" w:after="0"/>
        <w:ind w:left="1467" w:right="2194" w:hanging="400"/>
        <w:jc w:val="left"/>
        <w:rPr>
          <w:sz w:val="22"/>
        </w:rPr>
      </w:pPr>
      <w:r>
        <w:rPr>
          <w:b/>
          <w:w w:val="105"/>
          <w:sz w:val="22"/>
          <w:u w:val="single"/>
        </w:rPr>
        <w:t>Classe 1, con diritto di voto</w:t>
      </w:r>
      <w:r>
        <w:rPr>
          <w:w w:val="105"/>
          <w:sz w:val="22"/>
        </w:rPr>
        <w:t>, composta dai crediti chirografari diversi</w:t>
      </w:r>
      <w:r>
        <w:rPr>
          <w:spacing w:val="-10"/>
          <w:w w:val="105"/>
          <w:sz w:val="22"/>
        </w:rPr>
        <w:t> </w:t>
      </w:r>
      <w:r>
        <w:rPr>
          <w:w w:val="105"/>
          <w:sz w:val="22"/>
        </w:rPr>
        <w:t>da</w:t>
      </w:r>
      <w:r>
        <w:rPr>
          <w:spacing w:val="-10"/>
          <w:w w:val="105"/>
          <w:sz w:val="22"/>
        </w:rPr>
        <w:t> </w:t>
      </w:r>
      <w:r>
        <w:rPr>
          <w:w w:val="105"/>
          <w:sz w:val="22"/>
        </w:rPr>
        <w:t>quelli</w:t>
      </w:r>
      <w:r>
        <w:rPr>
          <w:spacing w:val="-10"/>
          <w:w w:val="105"/>
          <w:sz w:val="22"/>
        </w:rPr>
        <w:t> </w:t>
      </w:r>
      <w:r>
        <w:rPr>
          <w:w w:val="105"/>
          <w:sz w:val="22"/>
        </w:rPr>
        <w:t>di</w:t>
      </w:r>
      <w:r>
        <w:rPr>
          <w:spacing w:val="-8"/>
          <w:w w:val="105"/>
          <w:sz w:val="22"/>
        </w:rPr>
        <w:t> </w:t>
      </w:r>
      <w:r>
        <w:rPr>
          <w:w w:val="105"/>
          <w:sz w:val="22"/>
        </w:rPr>
        <w:t>cui</w:t>
      </w:r>
      <w:r>
        <w:rPr>
          <w:spacing w:val="-10"/>
          <w:w w:val="105"/>
          <w:sz w:val="22"/>
        </w:rPr>
        <w:t> </w:t>
      </w:r>
      <w:r>
        <w:rPr>
          <w:w w:val="105"/>
          <w:sz w:val="22"/>
        </w:rPr>
        <w:t>alla</w:t>
      </w:r>
      <w:r>
        <w:rPr>
          <w:spacing w:val="-11"/>
          <w:w w:val="105"/>
          <w:sz w:val="22"/>
        </w:rPr>
        <w:t> </w:t>
      </w:r>
      <w:r>
        <w:rPr>
          <w:w w:val="105"/>
          <w:sz w:val="22"/>
        </w:rPr>
        <w:t>classe</w:t>
      </w:r>
      <w:r>
        <w:rPr>
          <w:spacing w:val="-10"/>
          <w:w w:val="105"/>
          <w:sz w:val="22"/>
        </w:rPr>
        <w:t> </w:t>
      </w:r>
      <w:r>
        <w:rPr>
          <w:w w:val="105"/>
          <w:sz w:val="22"/>
        </w:rPr>
        <w:t>2</w:t>
      </w:r>
      <w:r>
        <w:rPr>
          <w:spacing w:val="-10"/>
          <w:w w:val="105"/>
          <w:sz w:val="22"/>
        </w:rPr>
        <w:t> </w:t>
      </w:r>
      <w:r>
        <w:rPr>
          <w:w w:val="105"/>
          <w:sz w:val="22"/>
        </w:rPr>
        <w:t>e</w:t>
      </w:r>
      <w:r>
        <w:rPr>
          <w:spacing w:val="-10"/>
          <w:w w:val="105"/>
          <w:sz w:val="22"/>
        </w:rPr>
        <w:t> </w:t>
      </w:r>
      <w:r>
        <w:rPr>
          <w:w w:val="105"/>
          <w:sz w:val="22"/>
        </w:rPr>
        <w:t>alla</w:t>
      </w:r>
      <w:r>
        <w:rPr>
          <w:spacing w:val="-10"/>
          <w:w w:val="105"/>
          <w:sz w:val="22"/>
        </w:rPr>
        <w:t> </w:t>
      </w:r>
      <w:r>
        <w:rPr>
          <w:w w:val="105"/>
          <w:sz w:val="22"/>
        </w:rPr>
        <w:t>classe</w:t>
      </w:r>
      <w:r>
        <w:rPr>
          <w:spacing w:val="-10"/>
          <w:w w:val="105"/>
          <w:sz w:val="22"/>
        </w:rPr>
        <w:t> </w:t>
      </w:r>
      <w:r>
        <w:rPr>
          <w:w w:val="105"/>
          <w:sz w:val="22"/>
        </w:rPr>
        <w:t>3,</w:t>
      </w:r>
      <w:r>
        <w:rPr>
          <w:spacing w:val="-10"/>
          <w:w w:val="105"/>
          <w:sz w:val="22"/>
        </w:rPr>
        <w:t> </w:t>
      </w:r>
      <w:r>
        <w:rPr>
          <w:w w:val="105"/>
          <w:sz w:val="22"/>
        </w:rPr>
        <w:t>con</w:t>
      </w:r>
      <w:r>
        <w:rPr>
          <w:spacing w:val="-11"/>
          <w:w w:val="105"/>
          <w:sz w:val="22"/>
        </w:rPr>
        <w:t> </w:t>
      </w:r>
      <w:r>
        <w:rPr>
          <w:w w:val="105"/>
          <w:sz w:val="22"/>
        </w:rPr>
        <w:t>pagamento</w:t>
      </w:r>
    </w:p>
    <w:p>
      <w:pPr>
        <w:spacing w:after="0" w:line="463" w:lineRule="auto"/>
        <w:jc w:val="left"/>
        <w:rPr>
          <w:sz w:val="22"/>
        </w:rPr>
        <w:sectPr>
          <w:pgSz w:w="12240" w:h="15840"/>
          <w:pgMar w:header="0" w:footer="790" w:top="1500" w:bottom="980" w:left="1720" w:right="1200"/>
        </w:sectPr>
      </w:pPr>
    </w:p>
    <w:p>
      <w:pPr>
        <w:pStyle w:val="BodyText"/>
        <w:spacing w:line="491" w:lineRule="auto" w:before="105"/>
        <w:ind w:left="1467" w:right="2195"/>
        <w:jc w:val="both"/>
      </w:pPr>
      <w:r>
        <w:rPr>
          <w:w w:val="105"/>
        </w:rPr>
        <w:t>in una percentuale assicurata e garantita pari al 20% del rispettivo credito, da corrispondersi nella misura del relativo 50% </w:t>
      </w:r>
      <w:r>
        <w:rPr>
          <w:w w:val="105"/>
          <w:u w:val="single"/>
        </w:rPr>
        <w:t>entro 3 (tre) mesi </w:t>
      </w:r>
      <w:r>
        <w:rPr>
          <w:w w:val="105"/>
        </w:rPr>
        <w:t>dal Decreto di Omologazione e, quanto all’ulteriore 25% </w:t>
      </w:r>
      <w:r>
        <w:rPr>
          <w:w w:val="105"/>
          <w:u w:val="single"/>
        </w:rPr>
        <w:t>entro 15 (quindici) mesi </w:t>
      </w:r>
      <w:r>
        <w:rPr>
          <w:w w:val="105"/>
        </w:rPr>
        <w:t>dalla Data di Omologazione e, infine, l’ulteriore 25% </w:t>
      </w:r>
      <w:r>
        <w:rPr>
          <w:w w:val="105"/>
          <w:u w:val="single"/>
        </w:rPr>
        <w:t>entro 35 (trentacinque)</w:t>
      </w:r>
    </w:p>
    <w:p>
      <w:pPr>
        <w:pStyle w:val="BodyText"/>
        <w:spacing w:line="491" w:lineRule="auto" w:before="1"/>
        <w:ind w:left="1467" w:right="2194"/>
      </w:pPr>
      <w:r>
        <w:rPr>
          <w:w w:val="105"/>
          <w:u w:val="single"/>
        </w:rPr>
        <w:t>mesi </w:t>
      </w:r>
      <w:r>
        <w:rPr>
          <w:w w:val="105"/>
        </w:rPr>
        <w:t>dalla Data di Omologazione, salva autorizzazione a riparti anticipati;</w:t>
      </w:r>
    </w:p>
    <w:p>
      <w:pPr>
        <w:pStyle w:val="ListParagraph"/>
        <w:numPr>
          <w:ilvl w:val="1"/>
          <w:numId w:val="37"/>
        </w:numPr>
        <w:tabs>
          <w:tab w:pos="1467" w:val="left" w:leader="none"/>
          <w:tab w:pos="1468" w:val="left" w:leader="none"/>
        </w:tabs>
        <w:spacing w:line="240" w:lineRule="auto" w:before="1" w:after="0"/>
        <w:ind w:left="1467" w:right="0" w:hanging="400"/>
        <w:jc w:val="left"/>
        <w:rPr>
          <w:sz w:val="22"/>
        </w:rPr>
      </w:pPr>
      <w:r>
        <w:rPr>
          <w:b/>
          <w:w w:val="105"/>
          <w:sz w:val="22"/>
          <w:u w:val="single"/>
        </w:rPr>
        <w:t>Classe   2,   con   diritto   di   voto</w:t>
      </w:r>
      <w:r>
        <w:rPr>
          <w:w w:val="105"/>
          <w:sz w:val="22"/>
        </w:rPr>
        <w:t>,   composta   dal</w:t>
      </w:r>
      <w:r>
        <w:rPr>
          <w:spacing w:val="15"/>
          <w:w w:val="105"/>
          <w:sz w:val="22"/>
        </w:rPr>
        <w:t> </w:t>
      </w:r>
      <w:r>
        <w:rPr>
          <w:w w:val="105"/>
          <w:sz w:val="22"/>
        </w:rPr>
        <w:t>creditore</w:t>
      </w:r>
    </w:p>
    <w:p>
      <w:pPr>
        <w:pStyle w:val="BodyText"/>
        <w:spacing w:before="9"/>
        <w:rPr>
          <w:sz w:val="13"/>
        </w:rPr>
      </w:pPr>
    </w:p>
    <w:p>
      <w:pPr>
        <w:pStyle w:val="BodyText"/>
        <w:spacing w:line="491" w:lineRule="auto" w:before="106"/>
        <w:ind w:left="1467" w:right="2196"/>
        <w:jc w:val="both"/>
      </w:pPr>
      <w:r>
        <w:rPr>
          <w:w w:val="105"/>
        </w:rPr>
        <w:t>postergato</w:t>
      </w:r>
      <w:r>
        <w:rPr>
          <w:spacing w:val="-19"/>
          <w:w w:val="105"/>
        </w:rPr>
        <w:t> </w:t>
      </w:r>
      <w:r>
        <w:rPr>
          <w:w w:val="105"/>
        </w:rPr>
        <w:t>volontariamente</w:t>
      </w:r>
      <w:r>
        <w:rPr>
          <w:spacing w:val="-19"/>
          <w:w w:val="105"/>
        </w:rPr>
        <w:t> </w:t>
      </w:r>
      <w:r>
        <w:rPr>
          <w:w w:val="105"/>
        </w:rPr>
        <w:t>Novozymes</w:t>
      </w:r>
      <w:r>
        <w:rPr>
          <w:spacing w:val="-19"/>
          <w:w w:val="105"/>
        </w:rPr>
        <w:t> </w:t>
      </w:r>
      <w:r>
        <w:rPr>
          <w:w w:val="105"/>
        </w:rPr>
        <w:t>A/S,</w:t>
      </w:r>
      <w:r>
        <w:rPr>
          <w:spacing w:val="-19"/>
          <w:w w:val="105"/>
        </w:rPr>
        <w:t> </w:t>
      </w:r>
      <w:r>
        <w:rPr>
          <w:w w:val="105"/>
        </w:rPr>
        <w:t>con</w:t>
      </w:r>
      <w:r>
        <w:rPr>
          <w:spacing w:val="-19"/>
          <w:w w:val="105"/>
        </w:rPr>
        <w:t> </w:t>
      </w:r>
      <w:r>
        <w:rPr>
          <w:w w:val="105"/>
        </w:rPr>
        <w:t>pagamento</w:t>
      </w:r>
      <w:r>
        <w:rPr>
          <w:spacing w:val="-18"/>
          <w:w w:val="105"/>
        </w:rPr>
        <w:t> </w:t>
      </w:r>
      <w:r>
        <w:rPr>
          <w:w w:val="105"/>
        </w:rPr>
        <w:t>in una percentuale minima, non assicurata, pari al 17,92 % del rispettivo credito, da corrispondersi, nei termini e modalità di cui all’impegno di postergazione ed entro il 31 dicembre 2024 (termine ultimo per il pagamento dell’eventuale Earn Out Versalis);</w:t>
      </w:r>
    </w:p>
    <w:p>
      <w:pPr>
        <w:pStyle w:val="ListParagraph"/>
        <w:numPr>
          <w:ilvl w:val="1"/>
          <w:numId w:val="37"/>
        </w:numPr>
        <w:tabs>
          <w:tab w:pos="1467" w:val="left" w:leader="none"/>
          <w:tab w:pos="1468" w:val="left" w:leader="none"/>
        </w:tabs>
        <w:spacing w:line="456" w:lineRule="auto" w:before="1" w:after="0"/>
        <w:ind w:left="1467" w:right="2198" w:hanging="400"/>
        <w:jc w:val="left"/>
        <w:rPr>
          <w:sz w:val="22"/>
        </w:rPr>
      </w:pPr>
      <w:r>
        <w:rPr>
          <w:b/>
          <w:sz w:val="22"/>
          <w:u w:val="single"/>
        </w:rPr>
        <w:t>Classe 3, senza diritto di voto </w:t>
      </w:r>
      <w:r>
        <w:rPr>
          <w:b/>
          <w:i/>
          <w:sz w:val="24"/>
          <w:u w:val="single"/>
        </w:rPr>
        <w:t>ex lege</w:t>
      </w:r>
      <w:r>
        <w:rPr>
          <w:sz w:val="22"/>
        </w:rPr>
        <w:t>, composta dai creditori finanziari </w:t>
      </w:r>
      <w:r>
        <w:rPr>
          <w:i/>
          <w:sz w:val="22"/>
        </w:rPr>
        <w:t>ab origine </w:t>
      </w:r>
      <w:r>
        <w:rPr>
          <w:sz w:val="22"/>
        </w:rPr>
        <w:t>(i.e. M&amp;G Finanziaria e </w:t>
      </w:r>
      <w:r>
        <w:rPr>
          <w:spacing w:val="35"/>
          <w:sz w:val="22"/>
        </w:rPr>
        <w:t> </w:t>
      </w:r>
      <w:r>
        <w:rPr>
          <w:sz w:val="22"/>
        </w:rPr>
        <w:t>M&amp;G);</w:t>
      </w:r>
    </w:p>
    <w:p>
      <w:pPr>
        <w:pStyle w:val="ListParagraph"/>
        <w:numPr>
          <w:ilvl w:val="0"/>
          <w:numId w:val="36"/>
        </w:numPr>
        <w:tabs>
          <w:tab w:pos="1079" w:val="left" w:leader="none"/>
        </w:tabs>
        <w:spacing w:line="477" w:lineRule="auto" w:before="38" w:after="0"/>
        <w:ind w:left="1078" w:right="2196" w:hanging="340"/>
        <w:jc w:val="both"/>
        <w:rPr>
          <w:sz w:val="22"/>
        </w:rPr>
      </w:pPr>
      <w:r>
        <w:rPr>
          <w:w w:val="105"/>
          <w:sz w:val="22"/>
        </w:rPr>
        <w:t>di autorizzare ai sensi e per gli effetti dell’art. 167, comma 2, legge fall., la Transazione Granbio ai termini ed alle condizioni di cui alla </w:t>
      </w:r>
      <w:r>
        <w:rPr>
          <w:sz w:val="22"/>
        </w:rPr>
        <w:t>presente</w:t>
      </w:r>
      <w:r>
        <w:rPr>
          <w:spacing w:val="27"/>
          <w:sz w:val="22"/>
        </w:rPr>
        <w:t> </w:t>
      </w:r>
      <w:r>
        <w:rPr>
          <w:sz w:val="22"/>
        </w:rPr>
        <w:t>memoria;</w:t>
      </w:r>
    </w:p>
    <w:p>
      <w:pPr>
        <w:pStyle w:val="ListParagraph"/>
        <w:numPr>
          <w:ilvl w:val="0"/>
          <w:numId w:val="36"/>
        </w:numPr>
        <w:tabs>
          <w:tab w:pos="1079" w:val="left" w:leader="none"/>
        </w:tabs>
        <w:spacing w:line="482" w:lineRule="auto" w:before="14" w:after="0"/>
        <w:ind w:left="1078" w:right="2194" w:hanging="340"/>
        <w:jc w:val="both"/>
        <w:rPr>
          <w:sz w:val="22"/>
        </w:rPr>
      </w:pPr>
      <w:r>
        <w:rPr>
          <w:w w:val="105"/>
          <w:sz w:val="22"/>
        </w:rPr>
        <w:t>di concedere, qualora codesto Illustrissimo Tribunale adito lo ritenesse</w:t>
      </w:r>
      <w:r>
        <w:rPr>
          <w:spacing w:val="-14"/>
          <w:w w:val="105"/>
          <w:sz w:val="22"/>
        </w:rPr>
        <w:t> </w:t>
      </w:r>
      <w:r>
        <w:rPr>
          <w:w w:val="105"/>
          <w:sz w:val="22"/>
        </w:rPr>
        <w:t>opportuno,</w:t>
      </w:r>
      <w:r>
        <w:rPr>
          <w:spacing w:val="-14"/>
          <w:w w:val="105"/>
          <w:sz w:val="22"/>
        </w:rPr>
        <w:t> </w:t>
      </w:r>
      <w:r>
        <w:rPr>
          <w:w w:val="105"/>
          <w:sz w:val="22"/>
        </w:rPr>
        <w:t>15</w:t>
      </w:r>
      <w:r>
        <w:rPr>
          <w:spacing w:val="-15"/>
          <w:w w:val="105"/>
          <w:sz w:val="22"/>
        </w:rPr>
        <w:t> </w:t>
      </w:r>
      <w:r>
        <w:rPr>
          <w:w w:val="105"/>
          <w:sz w:val="22"/>
        </w:rPr>
        <w:t>giorni</w:t>
      </w:r>
      <w:r>
        <w:rPr>
          <w:spacing w:val="-16"/>
          <w:w w:val="105"/>
          <w:sz w:val="22"/>
        </w:rPr>
        <w:t> </w:t>
      </w:r>
      <w:r>
        <w:rPr>
          <w:w w:val="105"/>
          <w:sz w:val="22"/>
        </w:rPr>
        <w:t>per</w:t>
      </w:r>
      <w:r>
        <w:rPr>
          <w:spacing w:val="-15"/>
          <w:w w:val="105"/>
          <w:sz w:val="22"/>
        </w:rPr>
        <w:t> </w:t>
      </w:r>
      <w:r>
        <w:rPr>
          <w:w w:val="105"/>
          <w:sz w:val="22"/>
        </w:rPr>
        <w:t>apportare</w:t>
      </w:r>
      <w:r>
        <w:rPr>
          <w:spacing w:val="-15"/>
          <w:w w:val="105"/>
          <w:sz w:val="22"/>
        </w:rPr>
        <w:t> </w:t>
      </w:r>
      <w:r>
        <w:rPr>
          <w:w w:val="105"/>
          <w:sz w:val="22"/>
        </w:rPr>
        <w:t>eventuali</w:t>
      </w:r>
      <w:r>
        <w:rPr>
          <w:spacing w:val="-15"/>
          <w:w w:val="105"/>
          <w:sz w:val="22"/>
        </w:rPr>
        <w:t> </w:t>
      </w:r>
      <w:r>
        <w:rPr>
          <w:w w:val="105"/>
          <w:sz w:val="22"/>
        </w:rPr>
        <w:t>integrazioni</w:t>
      </w:r>
      <w:r>
        <w:rPr>
          <w:spacing w:val="-14"/>
          <w:w w:val="105"/>
          <w:sz w:val="22"/>
        </w:rPr>
        <w:t> </w:t>
      </w:r>
      <w:r>
        <w:rPr>
          <w:w w:val="105"/>
          <w:sz w:val="22"/>
        </w:rPr>
        <w:t>al Piano e produrre nuovi documenti ai sensi e per gli effetti dell’art. 162,</w:t>
      </w:r>
      <w:r>
        <w:rPr>
          <w:spacing w:val="-22"/>
          <w:w w:val="105"/>
          <w:sz w:val="22"/>
        </w:rPr>
        <w:t> </w:t>
      </w:r>
      <w:r>
        <w:rPr>
          <w:w w:val="105"/>
          <w:sz w:val="22"/>
        </w:rPr>
        <w:t>comma</w:t>
      </w:r>
      <w:r>
        <w:rPr>
          <w:spacing w:val="-23"/>
          <w:w w:val="105"/>
          <w:sz w:val="22"/>
        </w:rPr>
        <w:t> </w:t>
      </w:r>
      <w:r>
        <w:rPr>
          <w:w w:val="105"/>
          <w:sz w:val="22"/>
        </w:rPr>
        <w:t>1,</w:t>
      </w:r>
      <w:r>
        <w:rPr>
          <w:spacing w:val="-22"/>
          <w:w w:val="105"/>
          <w:sz w:val="22"/>
        </w:rPr>
        <w:t> </w:t>
      </w:r>
      <w:r>
        <w:rPr>
          <w:w w:val="105"/>
          <w:sz w:val="22"/>
        </w:rPr>
        <w:t>Legge</w:t>
      </w:r>
      <w:r>
        <w:rPr>
          <w:spacing w:val="-22"/>
          <w:w w:val="105"/>
          <w:sz w:val="22"/>
        </w:rPr>
        <w:t> </w:t>
      </w:r>
      <w:r>
        <w:rPr>
          <w:w w:val="105"/>
          <w:sz w:val="22"/>
        </w:rPr>
        <w:t>Fallimentare.</w:t>
      </w:r>
    </w:p>
    <w:p>
      <w:pPr>
        <w:pStyle w:val="BodyText"/>
        <w:spacing w:before="10"/>
        <w:ind w:left="476" w:right="2272"/>
        <w:jc w:val="center"/>
      </w:pPr>
      <w:r>
        <w:rPr>
          <w:w w:val="105"/>
        </w:rPr>
        <w:t>* * *</w:t>
      </w:r>
    </w:p>
    <w:p>
      <w:pPr>
        <w:spacing w:after="0"/>
        <w:jc w:val="center"/>
        <w:sectPr>
          <w:pgSz w:w="12240" w:h="15840"/>
          <w:pgMar w:header="0" w:footer="790" w:top="1500" w:bottom="980" w:left="1720" w:right="1200"/>
        </w:sectPr>
      </w:pPr>
    </w:p>
    <w:p>
      <w:pPr>
        <w:pStyle w:val="BodyText"/>
        <w:spacing w:line="491" w:lineRule="auto" w:before="105"/>
        <w:ind w:left="400" w:right="2200" w:hanging="1"/>
      </w:pPr>
      <w:r>
        <w:rPr>
          <w:w w:val="105"/>
        </w:rPr>
        <w:t>Si</w:t>
      </w:r>
      <w:r>
        <w:rPr>
          <w:spacing w:val="-16"/>
          <w:w w:val="105"/>
        </w:rPr>
        <w:t> </w:t>
      </w:r>
      <w:r>
        <w:rPr>
          <w:w w:val="105"/>
        </w:rPr>
        <w:t>producono,</w:t>
      </w:r>
      <w:r>
        <w:rPr>
          <w:spacing w:val="-16"/>
          <w:w w:val="105"/>
        </w:rPr>
        <w:t> </w:t>
      </w:r>
      <w:r>
        <w:rPr>
          <w:w w:val="105"/>
        </w:rPr>
        <w:t>in</w:t>
      </w:r>
      <w:r>
        <w:rPr>
          <w:spacing w:val="-16"/>
          <w:w w:val="105"/>
        </w:rPr>
        <w:t> </w:t>
      </w:r>
      <w:r>
        <w:rPr>
          <w:w w:val="105"/>
        </w:rPr>
        <w:t>progressione</w:t>
      </w:r>
      <w:r>
        <w:rPr>
          <w:spacing w:val="-16"/>
          <w:w w:val="105"/>
        </w:rPr>
        <w:t> </w:t>
      </w:r>
      <w:r>
        <w:rPr>
          <w:w w:val="105"/>
        </w:rPr>
        <w:t>numerica</w:t>
      </w:r>
      <w:r>
        <w:rPr>
          <w:spacing w:val="-16"/>
          <w:w w:val="105"/>
        </w:rPr>
        <w:t> </w:t>
      </w:r>
      <w:r>
        <w:rPr>
          <w:w w:val="105"/>
        </w:rPr>
        <w:t>ai</w:t>
      </w:r>
      <w:r>
        <w:rPr>
          <w:spacing w:val="-16"/>
          <w:w w:val="105"/>
        </w:rPr>
        <w:t> </w:t>
      </w:r>
      <w:r>
        <w:rPr>
          <w:w w:val="105"/>
        </w:rPr>
        <w:t>documenti</w:t>
      </w:r>
      <w:r>
        <w:rPr>
          <w:spacing w:val="-16"/>
          <w:w w:val="105"/>
        </w:rPr>
        <w:t> </w:t>
      </w:r>
      <w:r>
        <w:rPr>
          <w:w w:val="105"/>
        </w:rPr>
        <w:t>allegati</w:t>
      </w:r>
      <w:r>
        <w:rPr>
          <w:spacing w:val="-16"/>
          <w:w w:val="105"/>
        </w:rPr>
        <w:t> </w:t>
      </w:r>
      <w:r>
        <w:rPr>
          <w:w w:val="105"/>
        </w:rPr>
        <w:t>al</w:t>
      </w:r>
      <w:r>
        <w:rPr>
          <w:spacing w:val="-16"/>
          <w:w w:val="105"/>
        </w:rPr>
        <w:t> </w:t>
      </w:r>
      <w:r>
        <w:rPr>
          <w:w w:val="105"/>
        </w:rPr>
        <w:t>ricorso</w:t>
      </w:r>
      <w:r>
        <w:rPr>
          <w:spacing w:val="-16"/>
          <w:w w:val="105"/>
        </w:rPr>
        <w:t> </w:t>
      </w:r>
      <w:r>
        <w:rPr>
          <w:w w:val="105"/>
        </w:rPr>
        <w:t>e</w:t>
      </w:r>
      <w:r>
        <w:rPr>
          <w:spacing w:val="-16"/>
          <w:w w:val="105"/>
        </w:rPr>
        <w:t> </w:t>
      </w:r>
      <w:r>
        <w:rPr>
          <w:w w:val="105"/>
        </w:rPr>
        <w:t>alle memorie</w:t>
      </w:r>
      <w:r>
        <w:rPr>
          <w:spacing w:val="-23"/>
          <w:w w:val="105"/>
        </w:rPr>
        <w:t> </w:t>
      </w:r>
      <w:r>
        <w:rPr>
          <w:w w:val="105"/>
        </w:rPr>
        <w:t>informative,</w:t>
      </w:r>
      <w:r>
        <w:rPr>
          <w:spacing w:val="-23"/>
          <w:w w:val="105"/>
        </w:rPr>
        <w:t> </w:t>
      </w:r>
      <w:r>
        <w:rPr>
          <w:w w:val="105"/>
        </w:rPr>
        <w:t>i</w:t>
      </w:r>
      <w:r>
        <w:rPr>
          <w:spacing w:val="-23"/>
          <w:w w:val="105"/>
        </w:rPr>
        <w:t> </w:t>
      </w:r>
      <w:r>
        <w:rPr>
          <w:w w:val="105"/>
        </w:rPr>
        <w:t>seguenti</w:t>
      </w:r>
      <w:r>
        <w:rPr>
          <w:spacing w:val="-23"/>
          <w:w w:val="105"/>
        </w:rPr>
        <w:t> </w:t>
      </w:r>
      <w:r>
        <w:rPr>
          <w:w w:val="105"/>
        </w:rPr>
        <w:t>documenti</w:t>
      </w:r>
      <w:r>
        <w:rPr>
          <w:spacing w:val="-23"/>
          <w:w w:val="105"/>
        </w:rPr>
        <w:t> </w:t>
      </w:r>
      <w:r>
        <w:rPr>
          <w:w w:val="105"/>
        </w:rPr>
        <w:t>in</w:t>
      </w:r>
      <w:r>
        <w:rPr>
          <w:spacing w:val="-23"/>
          <w:w w:val="105"/>
        </w:rPr>
        <w:t> </w:t>
      </w:r>
      <w:r>
        <w:rPr>
          <w:w w:val="105"/>
        </w:rPr>
        <w:t>copia:</w:t>
      </w:r>
    </w:p>
    <w:p>
      <w:pPr>
        <w:pStyle w:val="ListParagraph"/>
        <w:numPr>
          <w:ilvl w:val="0"/>
          <w:numId w:val="38"/>
        </w:numPr>
        <w:tabs>
          <w:tab w:pos="1079" w:val="left" w:leader="none"/>
        </w:tabs>
        <w:spacing w:line="240" w:lineRule="auto" w:before="1" w:after="0"/>
        <w:ind w:left="1078" w:right="0" w:hanging="340"/>
        <w:jc w:val="left"/>
        <w:rPr>
          <w:sz w:val="22"/>
        </w:rPr>
      </w:pPr>
      <w:r>
        <w:rPr>
          <w:w w:val="105"/>
          <w:sz w:val="22"/>
        </w:rPr>
        <w:t>Determina</w:t>
      </w:r>
      <w:r>
        <w:rPr>
          <w:spacing w:val="-15"/>
          <w:w w:val="105"/>
          <w:sz w:val="22"/>
        </w:rPr>
        <w:t> </w:t>
      </w:r>
      <w:r>
        <w:rPr>
          <w:w w:val="105"/>
          <w:sz w:val="22"/>
        </w:rPr>
        <w:t>152</w:t>
      </w:r>
      <w:r>
        <w:rPr>
          <w:spacing w:val="-15"/>
          <w:w w:val="105"/>
          <w:sz w:val="22"/>
        </w:rPr>
        <w:t> </w:t>
      </w:r>
      <w:r>
        <w:rPr>
          <w:w w:val="105"/>
          <w:sz w:val="22"/>
        </w:rPr>
        <w:t>l.</w:t>
      </w:r>
      <w:r>
        <w:rPr>
          <w:spacing w:val="-15"/>
          <w:w w:val="105"/>
          <w:sz w:val="22"/>
        </w:rPr>
        <w:t> </w:t>
      </w:r>
      <w:r>
        <w:rPr>
          <w:w w:val="105"/>
          <w:sz w:val="22"/>
        </w:rPr>
        <w:t>fall.</w:t>
      </w:r>
    </w:p>
    <w:p>
      <w:pPr>
        <w:pStyle w:val="BodyText"/>
        <w:spacing w:before="1"/>
        <w:rPr>
          <w:sz w:val="23"/>
        </w:rPr>
      </w:pPr>
    </w:p>
    <w:p>
      <w:pPr>
        <w:pStyle w:val="ListParagraph"/>
        <w:numPr>
          <w:ilvl w:val="0"/>
          <w:numId w:val="38"/>
        </w:numPr>
        <w:tabs>
          <w:tab w:pos="1079" w:val="left" w:leader="none"/>
        </w:tabs>
        <w:spacing w:line="240" w:lineRule="auto" w:before="0" w:after="0"/>
        <w:ind w:left="1078" w:right="0" w:hanging="340"/>
        <w:jc w:val="left"/>
        <w:rPr>
          <w:sz w:val="22"/>
        </w:rPr>
      </w:pPr>
      <w:r>
        <w:rPr>
          <w:w w:val="105"/>
          <w:sz w:val="22"/>
        </w:rPr>
        <w:t>Piano</w:t>
      </w:r>
    </w:p>
    <w:p>
      <w:pPr>
        <w:pStyle w:val="BodyText"/>
        <w:rPr>
          <w:sz w:val="23"/>
        </w:rPr>
      </w:pPr>
    </w:p>
    <w:p>
      <w:pPr>
        <w:pStyle w:val="ListParagraph"/>
        <w:numPr>
          <w:ilvl w:val="0"/>
          <w:numId w:val="38"/>
        </w:numPr>
        <w:tabs>
          <w:tab w:pos="1079" w:val="left" w:leader="none"/>
        </w:tabs>
        <w:spacing w:line="240" w:lineRule="auto" w:before="1" w:after="0"/>
        <w:ind w:left="1078" w:right="0" w:hanging="340"/>
        <w:jc w:val="left"/>
        <w:rPr>
          <w:sz w:val="22"/>
        </w:rPr>
      </w:pPr>
      <w:r>
        <w:rPr>
          <w:sz w:val="22"/>
        </w:rPr>
        <w:t>Impegno</w:t>
      </w:r>
      <w:r>
        <w:rPr>
          <w:spacing w:val="27"/>
          <w:sz w:val="22"/>
        </w:rPr>
        <w:t> </w:t>
      </w:r>
      <w:r>
        <w:rPr>
          <w:sz w:val="22"/>
        </w:rPr>
        <w:t>Ghisolfi</w:t>
      </w:r>
    </w:p>
    <w:p>
      <w:pPr>
        <w:pStyle w:val="BodyText"/>
        <w:spacing w:before="2"/>
        <w:rPr>
          <w:sz w:val="23"/>
        </w:rPr>
      </w:pPr>
    </w:p>
    <w:p>
      <w:pPr>
        <w:pStyle w:val="ListParagraph"/>
        <w:numPr>
          <w:ilvl w:val="0"/>
          <w:numId w:val="38"/>
        </w:numPr>
        <w:tabs>
          <w:tab w:pos="1079" w:val="left" w:leader="none"/>
        </w:tabs>
        <w:spacing w:line="240" w:lineRule="auto" w:before="0" w:after="0"/>
        <w:ind w:left="1078" w:right="0" w:hanging="340"/>
        <w:jc w:val="left"/>
        <w:rPr>
          <w:sz w:val="22"/>
        </w:rPr>
      </w:pPr>
      <w:r>
        <w:rPr>
          <w:sz w:val="22"/>
        </w:rPr>
        <w:t>Postergazione</w:t>
      </w:r>
      <w:r>
        <w:rPr>
          <w:spacing w:val="47"/>
          <w:sz w:val="22"/>
        </w:rPr>
        <w:t> </w:t>
      </w:r>
      <w:r>
        <w:rPr>
          <w:sz w:val="22"/>
        </w:rPr>
        <w:t>Novozymes</w:t>
      </w:r>
    </w:p>
    <w:p>
      <w:pPr>
        <w:pStyle w:val="BodyText"/>
        <w:rPr>
          <w:sz w:val="23"/>
        </w:rPr>
      </w:pPr>
    </w:p>
    <w:p>
      <w:pPr>
        <w:pStyle w:val="ListParagraph"/>
        <w:numPr>
          <w:ilvl w:val="0"/>
          <w:numId w:val="38"/>
        </w:numPr>
        <w:tabs>
          <w:tab w:pos="1079" w:val="left" w:leader="none"/>
        </w:tabs>
        <w:spacing w:line="240" w:lineRule="auto" w:before="0" w:after="0"/>
        <w:ind w:left="1078" w:right="0" w:hanging="340"/>
        <w:jc w:val="left"/>
        <w:rPr>
          <w:sz w:val="22"/>
        </w:rPr>
      </w:pPr>
      <w:r>
        <w:rPr>
          <w:w w:val="105"/>
          <w:sz w:val="22"/>
        </w:rPr>
        <w:t>Impegno</w:t>
      </w:r>
      <w:r>
        <w:rPr>
          <w:spacing w:val="-32"/>
          <w:w w:val="105"/>
          <w:sz w:val="22"/>
        </w:rPr>
        <w:t> </w:t>
      </w:r>
      <w:r>
        <w:rPr>
          <w:w w:val="105"/>
          <w:sz w:val="22"/>
        </w:rPr>
        <w:t>Eredi</w:t>
      </w:r>
      <w:r>
        <w:rPr>
          <w:spacing w:val="-32"/>
          <w:w w:val="105"/>
          <w:sz w:val="22"/>
        </w:rPr>
        <w:t> </w:t>
      </w:r>
      <w:r>
        <w:rPr>
          <w:w w:val="105"/>
          <w:sz w:val="22"/>
        </w:rPr>
        <w:t>Ghisolfi</w:t>
      </w:r>
    </w:p>
    <w:p>
      <w:pPr>
        <w:pStyle w:val="BodyText"/>
        <w:spacing w:before="1"/>
        <w:rPr>
          <w:sz w:val="23"/>
        </w:rPr>
      </w:pPr>
    </w:p>
    <w:p>
      <w:pPr>
        <w:pStyle w:val="ListParagraph"/>
        <w:numPr>
          <w:ilvl w:val="0"/>
          <w:numId w:val="38"/>
        </w:numPr>
        <w:tabs>
          <w:tab w:pos="1079" w:val="left" w:leader="none"/>
        </w:tabs>
        <w:spacing w:line="240" w:lineRule="auto" w:before="1" w:after="0"/>
        <w:ind w:left="1078" w:right="0" w:hanging="340"/>
        <w:jc w:val="left"/>
        <w:rPr>
          <w:sz w:val="22"/>
        </w:rPr>
      </w:pPr>
      <w:r>
        <w:rPr>
          <w:sz w:val="22"/>
        </w:rPr>
        <w:t>Transazione</w:t>
      </w:r>
      <w:r>
        <w:rPr>
          <w:spacing w:val="41"/>
          <w:sz w:val="22"/>
        </w:rPr>
        <w:t> </w:t>
      </w:r>
      <w:r>
        <w:rPr>
          <w:sz w:val="22"/>
        </w:rPr>
        <w:t>GranBio</w:t>
      </w:r>
    </w:p>
    <w:p>
      <w:pPr>
        <w:pStyle w:val="BodyText"/>
        <w:spacing w:before="4"/>
      </w:pPr>
    </w:p>
    <w:p>
      <w:pPr>
        <w:pStyle w:val="ListParagraph"/>
        <w:numPr>
          <w:ilvl w:val="1"/>
          <w:numId w:val="38"/>
        </w:numPr>
        <w:tabs>
          <w:tab w:pos="1468" w:val="left" w:leader="none"/>
        </w:tabs>
        <w:spacing w:line="240" w:lineRule="auto" w:before="1" w:after="0"/>
        <w:ind w:left="1467" w:right="2197" w:hanging="400"/>
        <w:jc w:val="both"/>
        <w:rPr>
          <w:rFonts w:ascii="Arial"/>
          <w:sz w:val="19"/>
        </w:rPr>
      </w:pPr>
      <w:r>
        <w:rPr>
          <w:rFonts w:ascii="Arial"/>
          <w:sz w:val="19"/>
        </w:rPr>
        <w:t>Master settlement Agreement + 11 Exhibits sottoscritto e siglato da Beta;</w:t>
      </w:r>
    </w:p>
    <w:p>
      <w:pPr>
        <w:pStyle w:val="ListParagraph"/>
        <w:numPr>
          <w:ilvl w:val="1"/>
          <w:numId w:val="38"/>
        </w:numPr>
        <w:tabs>
          <w:tab w:pos="1468" w:val="left" w:leader="none"/>
        </w:tabs>
        <w:spacing w:line="216" w:lineRule="exact" w:before="3" w:after="0"/>
        <w:ind w:left="1467" w:right="2197" w:hanging="400"/>
        <w:jc w:val="both"/>
        <w:rPr>
          <w:rFonts w:ascii="Arial"/>
          <w:sz w:val="19"/>
        </w:rPr>
      </w:pPr>
      <w:r>
        <w:rPr>
          <w:rFonts w:ascii="Arial"/>
          <w:sz w:val="19"/>
        </w:rPr>
        <w:t>Master settlement Agreement + 11 Exhibits sottoscritto e siglato da Biochemtex;</w:t>
      </w:r>
    </w:p>
    <w:p>
      <w:pPr>
        <w:pStyle w:val="ListParagraph"/>
        <w:numPr>
          <w:ilvl w:val="1"/>
          <w:numId w:val="38"/>
        </w:numPr>
        <w:tabs>
          <w:tab w:pos="1468" w:val="left" w:leader="none"/>
        </w:tabs>
        <w:spacing w:line="216" w:lineRule="exact" w:before="1" w:after="0"/>
        <w:ind w:left="1467" w:right="2197" w:hanging="400"/>
        <w:jc w:val="both"/>
        <w:rPr>
          <w:rFonts w:ascii="Arial"/>
          <w:sz w:val="19"/>
        </w:rPr>
      </w:pPr>
      <w:r>
        <w:rPr>
          <w:rFonts w:ascii="Arial"/>
          <w:sz w:val="19"/>
        </w:rPr>
        <w:t>Master settlement Agreement + 11 Exhibits sottoscritto e siglato da Beazley;</w:t>
      </w:r>
    </w:p>
    <w:p>
      <w:pPr>
        <w:pStyle w:val="ListParagraph"/>
        <w:numPr>
          <w:ilvl w:val="1"/>
          <w:numId w:val="38"/>
        </w:numPr>
        <w:tabs>
          <w:tab w:pos="1468" w:val="left" w:leader="none"/>
        </w:tabs>
        <w:spacing w:line="237" w:lineRule="auto" w:before="0" w:after="0"/>
        <w:ind w:left="1467" w:right="2197" w:hanging="400"/>
        <w:jc w:val="both"/>
        <w:rPr>
          <w:rFonts w:ascii="Arial"/>
          <w:sz w:val="19"/>
        </w:rPr>
      </w:pPr>
      <w:r>
        <w:rPr>
          <w:rFonts w:ascii="Arial"/>
          <w:sz w:val="19"/>
        </w:rPr>
        <w:t>Master settlement Agreement + 11 Exhibits sottoscritto e siglato da Markel;</w:t>
      </w:r>
    </w:p>
    <w:p>
      <w:pPr>
        <w:pStyle w:val="ListParagraph"/>
        <w:numPr>
          <w:ilvl w:val="1"/>
          <w:numId w:val="38"/>
        </w:numPr>
        <w:tabs>
          <w:tab w:pos="1468" w:val="left" w:leader="none"/>
        </w:tabs>
        <w:spacing w:line="216" w:lineRule="exact" w:before="7" w:after="0"/>
        <w:ind w:left="1467" w:right="2197" w:hanging="400"/>
        <w:jc w:val="both"/>
        <w:rPr>
          <w:rFonts w:ascii="Arial"/>
          <w:sz w:val="19"/>
        </w:rPr>
      </w:pPr>
      <w:r>
        <w:rPr>
          <w:rFonts w:ascii="Arial"/>
          <w:sz w:val="19"/>
        </w:rPr>
        <w:t>Master settlement Agreement + 11 Exhibits sottoscritto e siglato da AMTrust;</w:t>
      </w:r>
    </w:p>
    <w:p>
      <w:pPr>
        <w:pStyle w:val="ListParagraph"/>
        <w:numPr>
          <w:ilvl w:val="1"/>
          <w:numId w:val="38"/>
        </w:numPr>
        <w:tabs>
          <w:tab w:pos="1468" w:val="left" w:leader="none"/>
        </w:tabs>
        <w:spacing w:line="214" w:lineRule="exact" w:before="2" w:after="0"/>
        <w:ind w:left="1467" w:right="2197" w:hanging="400"/>
        <w:jc w:val="both"/>
        <w:rPr>
          <w:rFonts w:ascii="Arial"/>
          <w:sz w:val="19"/>
        </w:rPr>
      </w:pPr>
      <w:r>
        <w:rPr>
          <w:rFonts w:ascii="Arial"/>
          <w:sz w:val="19"/>
        </w:rPr>
        <w:t>Master settlement Agreement + 11 Exhibits sottoscritto e siglato da Granbio,</w:t>
      </w:r>
      <w:r>
        <w:rPr>
          <w:rFonts w:ascii="Arial"/>
          <w:spacing w:val="-13"/>
          <w:sz w:val="19"/>
        </w:rPr>
        <w:t> </w:t>
      </w:r>
      <w:r>
        <w:rPr>
          <w:rFonts w:ascii="Arial"/>
          <w:sz w:val="19"/>
        </w:rPr>
        <w:t>Bioflex</w:t>
      </w:r>
      <w:r>
        <w:rPr>
          <w:rFonts w:ascii="Arial"/>
          <w:spacing w:val="-15"/>
          <w:sz w:val="19"/>
        </w:rPr>
        <w:t> </w:t>
      </w:r>
      <w:r>
        <w:rPr>
          <w:rFonts w:ascii="Arial"/>
          <w:sz w:val="19"/>
        </w:rPr>
        <w:t>e</w:t>
      </w:r>
      <w:r>
        <w:rPr>
          <w:rFonts w:ascii="Arial"/>
          <w:spacing w:val="-15"/>
          <w:sz w:val="19"/>
        </w:rPr>
        <w:t> </w:t>
      </w:r>
      <w:r>
        <w:rPr>
          <w:rFonts w:ascii="Arial"/>
          <w:sz w:val="19"/>
        </w:rPr>
        <w:t>Granbio</w:t>
      </w:r>
      <w:r>
        <w:rPr>
          <w:rFonts w:ascii="Arial"/>
          <w:spacing w:val="-15"/>
          <w:sz w:val="19"/>
        </w:rPr>
        <w:t> </w:t>
      </w:r>
      <w:r>
        <w:rPr>
          <w:rFonts w:ascii="Arial"/>
          <w:sz w:val="19"/>
        </w:rPr>
        <w:t>Investimentos;</w:t>
      </w:r>
    </w:p>
    <w:p>
      <w:pPr>
        <w:pStyle w:val="ListParagraph"/>
        <w:numPr>
          <w:ilvl w:val="1"/>
          <w:numId w:val="38"/>
        </w:numPr>
        <w:tabs>
          <w:tab w:pos="1468" w:val="left" w:leader="none"/>
        </w:tabs>
        <w:spacing w:line="218" w:lineRule="exact" w:before="0" w:after="0"/>
        <w:ind w:left="1467" w:right="2196" w:hanging="400"/>
        <w:jc w:val="both"/>
        <w:rPr>
          <w:rFonts w:ascii="Arial"/>
          <w:sz w:val="19"/>
        </w:rPr>
      </w:pPr>
      <w:r>
        <w:rPr>
          <w:rFonts w:ascii="Arial"/>
          <w:sz w:val="19"/>
        </w:rPr>
        <w:t>License Agreement unitamente al relativo Exhibit 1 sottoscritto e siglato da</w:t>
      </w:r>
      <w:r>
        <w:rPr>
          <w:rFonts w:ascii="Arial"/>
          <w:spacing w:val="-22"/>
          <w:sz w:val="19"/>
        </w:rPr>
        <w:t> </w:t>
      </w:r>
      <w:r>
        <w:rPr>
          <w:rFonts w:ascii="Arial"/>
          <w:sz w:val="19"/>
        </w:rPr>
        <w:t>Beta;</w:t>
      </w:r>
    </w:p>
    <w:p>
      <w:pPr>
        <w:pStyle w:val="ListParagraph"/>
        <w:numPr>
          <w:ilvl w:val="1"/>
          <w:numId w:val="38"/>
        </w:numPr>
        <w:tabs>
          <w:tab w:pos="1468" w:val="left" w:leader="none"/>
        </w:tabs>
        <w:spacing w:line="237" w:lineRule="auto" w:before="0" w:after="0"/>
        <w:ind w:left="1467" w:right="2196" w:hanging="400"/>
        <w:jc w:val="both"/>
        <w:rPr>
          <w:rFonts w:ascii="Arial"/>
          <w:sz w:val="19"/>
        </w:rPr>
      </w:pPr>
      <w:r>
        <w:rPr>
          <w:rFonts w:ascii="Arial"/>
          <w:sz w:val="19"/>
        </w:rPr>
        <w:t>License Agreement unitamente al relativo Exhibit 1 sottoscritto e siglato da</w:t>
      </w:r>
      <w:r>
        <w:rPr>
          <w:rFonts w:ascii="Arial"/>
          <w:spacing w:val="-25"/>
          <w:sz w:val="19"/>
        </w:rPr>
        <w:t> </w:t>
      </w:r>
      <w:r>
        <w:rPr>
          <w:rFonts w:ascii="Arial"/>
          <w:sz w:val="19"/>
        </w:rPr>
        <w:t>Granbio;</w:t>
      </w:r>
    </w:p>
    <w:p>
      <w:pPr>
        <w:pStyle w:val="ListParagraph"/>
        <w:numPr>
          <w:ilvl w:val="1"/>
          <w:numId w:val="38"/>
        </w:numPr>
        <w:tabs>
          <w:tab w:pos="1468" w:val="left" w:leader="none"/>
        </w:tabs>
        <w:spacing w:line="216" w:lineRule="exact" w:before="8" w:after="0"/>
        <w:ind w:left="1467" w:right="2197" w:hanging="400"/>
        <w:jc w:val="both"/>
        <w:rPr>
          <w:rFonts w:ascii="Arial"/>
          <w:sz w:val="19"/>
        </w:rPr>
      </w:pPr>
      <w:r>
        <w:rPr>
          <w:rFonts w:ascii="Arial"/>
          <w:sz w:val="19"/>
        </w:rPr>
        <w:t>Annex 9 al vecchio License Agreement del 15 maggio 2012 siglato da</w:t>
      </w:r>
      <w:r>
        <w:rPr>
          <w:rFonts w:ascii="Arial"/>
          <w:spacing w:val="-11"/>
          <w:sz w:val="19"/>
        </w:rPr>
        <w:t> </w:t>
      </w:r>
      <w:r>
        <w:rPr>
          <w:rFonts w:ascii="Arial"/>
          <w:sz w:val="19"/>
        </w:rPr>
        <w:t>Beta;</w:t>
      </w:r>
    </w:p>
    <w:p>
      <w:pPr>
        <w:pStyle w:val="ListParagraph"/>
        <w:numPr>
          <w:ilvl w:val="1"/>
          <w:numId w:val="38"/>
        </w:numPr>
        <w:tabs>
          <w:tab w:pos="1468" w:val="left" w:leader="none"/>
        </w:tabs>
        <w:spacing w:line="216" w:lineRule="exact" w:before="1" w:after="0"/>
        <w:ind w:left="1467" w:right="2197" w:hanging="400"/>
        <w:jc w:val="both"/>
        <w:rPr>
          <w:rFonts w:ascii="Arial"/>
          <w:sz w:val="19"/>
        </w:rPr>
      </w:pPr>
      <w:r>
        <w:rPr>
          <w:rFonts w:ascii="Arial"/>
          <w:sz w:val="19"/>
        </w:rPr>
        <w:t>Annex 9 al vecchio License Agreement del 15 maggio 2012 siglato da</w:t>
      </w:r>
      <w:r>
        <w:rPr>
          <w:rFonts w:ascii="Arial"/>
          <w:spacing w:val="-18"/>
          <w:sz w:val="19"/>
        </w:rPr>
        <w:t> </w:t>
      </w:r>
      <w:r>
        <w:rPr>
          <w:rFonts w:ascii="Arial"/>
          <w:sz w:val="19"/>
        </w:rPr>
        <w:t>Granbio;</w:t>
      </w:r>
    </w:p>
    <w:p>
      <w:pPr>
        <w:pStyle w:val="ListParagraph"/>
        <w:numPr>
          <w:ilvl w:val="1"/>
          <w:numId w:val="38"/>
        </w:numPr>
        <w:tabs>
          <w:tab w:pos="1468" w:val="left" w:leader="none"/>
        </w:tabs>
        <w:spacing w:line="237" w:lineRule="auto" w:before="0" w:after="0"/>
        <w:ind w:left="1467" w:right="2198" w:hanging="400"/>
        <w:jc w:val="both"/>
        <w:rPr>
          <w:rFonts w:ascii="Arial"/>
          <w:sz w:val="19"/>
        </w:rPr>
      </w:pPr>
      <w:r>
        <w:rPr>
          <w:rFonts w:ascii="Arial"/>
          <w:sz w:val="19"/>
        </w:rPr>
        <w:t>Proposta di settlement agreement con insurers + Exhibit 1 sottoscritto e siglato da</w:t>
      </w:r>
      <w:r>
        <w:rPr>
          <w:rFonts w:ascii="Arial"/>
          <w:spacing w:val="-31"/>
          <w:sz w:val="19"/>
        </w:rPr>
        <w:t> </w:t>
      </w:r>
      <w:r>
        <w:rPr>
          <w:rFonts w:ascii="Arial"/>
          <w:sz w:val="19"/>
        </w:rPr>
        <w:t>Beta;</w:t>
      </w:r>
    </w:p>
    <w:p>
      <w:pPr>
        <w:pStyle w:val="ListParagraph"/>
        <w:numPr>
          <w:ilvl w:val="1"/>
          <w:numId w:val="38"/>
        </w:numPr>
        <w:tabs>
          <w:tab w:pos="1468" w:val="left" w:leader="none"/>
        </w:tabs>
        <w:spacing w:line="216" w:lineRule="exact" w:before="7" w:after="0"/>
        <w:ind w:left="1467" w:right="2198" w:hanging="400"/>
        <w:jc w:val="both"/>
        <w:rPr>
          <w:rFonts w:ascii="Arial"/>
          <w:sz w:val="19"/>
        </w:rPr>
      </w:pPr>
      <w:r>
        <w:rPr>
          <w:rFonts w:ascii="Arial"/>
          <w:sz w:val="19"/>
        </w:rPr>
        <w:t>Proposta di settlement agreement con insurers + Exhibit 1 sottoscritto</w:t>
      </w:r>
      <w:r>
        <w:rPr>
          <w:rFonts w:ascii="Arial"/>
          <w:spacing w:val="-13"/>
          <w:sz w:val="19"/>
        </w:rPr>
        <w:t> </w:t>
      </w:r>
      <w:r>
        <w:rPr>
          <w:rFonts w:ascii="Arial"/>
          <w:sz w:val="19"/>
        </w:rPr>
        <w:t>e</w:t>
      </w:r>
      <w:r>
        <w:rPr>
          <w:rFonts w:ascii="Arial"/>
          <w:spacing w:val="-14"/>
          <w:sz w:val="19"/>
        </w:rPr>
        <w:t> </w:t>
      </w:r>
      <w:r>
        <w:rPr>
          <w:rFonts w:ascii="Arial"/>
          <w:sz w:val="19"/>
        </w:rPr>
        <w:t>siglato</w:t>
      </w:r>
      <w:r>
        <w:rPr>
          <w:rFonts w:ascii="Arial"/>
          <w:spacing w:val="-14"/>
          <w:sz w:val="19"/>
        </w:rPr>
        <w:t> </w:t>
      </w:r>
      <w:r>
        <w:rPr>
          <w:rFonts w:ascii="Arial"/>
          <w:sz w:val="19"/>
        </w:rPr>
        <w:t>da</w:t>
      </w:r>
      <w:r>
        <w:rPr>
          <w:rFonts w:ascii="Arial"/>
          <w:spacing w:val="-13"/>
          <w:sz w:val="19"/>
        </w:rPr>
        <w:t> </w:t>
      </w:r>
      <w:r>
        <w:rPr>
          <w:rFonts w:ascii="Arial"/>
          <w:sz w:val="19"/>
        </w:rPr>
        <w:t>Biochemtex;</w:t>
      </w:r>
    </w:p>
    <w:p>
      <w:pPr>
        <w:pStyle w:val="ListParagraph"/>
        <w:numPr>
          <w:ilvl w:val="1"/>
          <w:numId w:val="38"/>
        </w:numPr>
        <w:tabs>
          <w:tab w:pos="1468" w:val="left" w:leader="none"/>
        </w:tabs>
        <w:spacing w:line="216" w:lineRule="exact" w:before="1" w:after="0"/>
        <w:ind w:left="1467" w:right="2198" w:hanging="400"/>
        <w:jc w:val="both"/>
        <w:rPr>
          <w:rFonts w:ascii="Arial"/>
          <w:sz w:val="19"/>
        </w:rPr>
      </w:pPr>
      <w:r>
        <w:rPr>
          <w:rFonts w:ascii="Arial"/>
          <w:sz w:val="19"/>
        </w:rPr>
        <w:t>Proposta di settlement agreement con insurers + Exhibit 1 sottoscritto e siglato da</w:t>
      </w:r>
      <w:r>
        <w:rPr>
          <w:rFonts w:ascii="Arial"/>
          <w:spacing w:val="-29"/>
          <w:sz w:val="19"/>
        </w:rPr>
        <w:t> </w:t>
      </w:r>
      <w:r>
        <w:rPr>
          <w:rFonts w:ascii="Arial"/>
          <w:sz w:val="19"/>
        </w:rPr>
        <w:t>MGF;</w:t>
      </w:r>
    </w:p>
    <w:p>
      <w:pPr>
        <w:pStyle w:val="ListParagraph"/>
        <w:numPr>
          <w:ilvl w:val="1"/>
          <w:numId w:val="38"/>
        </w:numPr>
        <w:tabs>
          <w:tab w:pos="1468" w:val="left" w:leader="none"/>
        </w:tabs>
        <w:spacing w:line="237" w:lineRule="auto" w:before="0" w:after="0"/>
        <w:ind w:left="1467" w:right="2198" w:hanging="400"/>
        <w:jc w:val="both"/>
        <w:rPr>
          <w:rFonts w:ascii="Arial"/>
          <w:sz w:val="19"/>
        </w:rPr>
      </w:pPr>
      <w:r>
        <w:rPr>
          <w:rFonts w:ascii="Arial"/>
          <w:sz w:val="19"/>
        </w:rPr>
        <w:t>Accettazione di proposta di settlement agreement con insurers sottoscritto e siglato da Beazley, Markel; AMTrust Catlin/XL; HCC; Antares;</w:t>
      </w:r>
      <w:r>
        <w:rPr>
          <w:rFonts w:ascii="Arial"/>
          <w:spacing w:val="-11"/>
          <w:sz w:val="19"/>
        </w:rPr>
        <w:t> </w:t>
      </w:r>
      <w:r>
        <w:rPr>
          <w:rFonts w:ascii="Arial"/>
          <w:sz w:val="19"/>
        </w:rPr>
        <w:t>AIG;</w:t>
      </w:r>
      <w:r>
        <w:rPr>
          <w:rFonts w:ascii="Arial"/>
          <w:spacing w:val="-12"/>
          <w:sz w:val="19"/>
        </w:rPr>
        <w:t> </w:t>
      </w:r>
      <w:r>
        <w:rPr>
          <w:rFonts w:ascii="Arial"/>
          <w:sz w:val="19"/>
        </w:rPr>
        <w:t>Starstone;</w:t>
      </w:r>
      <w:r>
        <w:rPr>
          <w:rFonts w:ascii="Arial"/>
          <w:spacing w:val="-11"/>
          <w:sz w:val="19"/>
        </w:rPr>
        <w:t> </w:t>
      </w:r>
      <w:r>
        <w:rPr>
          <w:rFonts w:ascii="Arial"/>
          <w:sz w:val="19"/>
        </w:rPr>
        <w:t>AWAC;</w:t>
      </w:r>
      <w:r>
        <w:rPr>
          <w:rFonts w:ascii="Arial"/>
          <w:spacing w:val="-11"/>
          <w:sz w:val="19"/>
        </w:rPr>
        <w:t> </w:t>
      </w:r>
      <w:r>
        <w:rPr>
          <w:rFonts w:ascii="Arial"/>
          <w:sz w:val="19"/>
        </w:rPr>
        <w:t>Great</w:t>
      </w:r>
      <w:r>
        <w:rPr>
          <w:rFonts w:ascii="Arial"/>
          <w:spacing w:val="-11"/>
          <w:sz w:val="19"/>
        </w:rPr>
        <w:t> </w:t>
      </w:r>
      <w:r>
        <w:rPr>
          <w:rFonts w:ascii="Arial"/>
          <w:sz w:val="19"/>
        </w:rPr>
        <w:t>Lakes;</w:t>
      </w:r>
    </w:p>
    <w:p>
      <w:pPr>
        <w:pStyle w:val="ListParagraph"/>
        <w:numPr>
          <w:ilvl w:val="1"/>
          <w:numId w:val="38"/>
        </w:numPr>
        <w:tabs>
          <w:tab w:pos="1468" w:val="left" w:leader="none"/>
        </w:tabs>
        <w:spacing w:line="218" w:lineRule="exact" w:before="5" w:after="0"/>
        <w:ind w:left="1467" w:right="2198" w:hanging="400"/>
        <w:jc w:val="both"/>
        <w:rPr>
          <w:rFonts w:ascii="Arial"/>
          <w:sz w:val="19"/>
        </w:rPr>
      </w:pPr>
      <w:r>
        <w:rPr>
          <w:rFonts w:ascii="Arial"/>
          <w:sz w:val="19"/>
        </w:rPr>
        <w:t>Addendum al master settlement agreement firmato da Beta e Biochemtex;</w:t>
      </w:r>
    </w:p>
    <w:p>
      <w:pPr>
        <w:pStyle w:val="ListParagraph"/>
        <w:numPr>
          <w:ilvl w:val="1"/>
          <w:numId w:val="38"/>
        </w:numPr>
        <w:tabs>
          <w:tab w:pos="1468" w:val="left" w:leader="none"/>
        </w:tabs>
        <w:spacing w:line="237" w:lineRule="auto" w:before="0" w:after="0"/>
        <w:ind w:left="1467" w:right="2199" w:hanging="400"/>
        <w:jc w:val="both"/>
        <w:rPr>
          <w:rFonts w:ascii="Arial"/>
          <w:sz w:val="19"/>
        </w:rPr>
      </w:pPr>
      <w:r>
        <w:rPr>
          <w:rFonts w:ascii="Arial"/>
          <w:sz w:val="19"/>
        </w:rPr>
        <w:t>Addendum al master settlement agreement firmato da Granbio, Bioflex, Granbio Investimentos, Beazley, Markel</w:t>
      </w:r>
      <w:r>
        <w:rPr>
          <w:rFonts w:ascii="Arial"/>
          <w:spacing w:val="-30"/>
          <w:sz w:val="19"/>
        </w:rPr>
        <w:t> </w:t>
      </w:r>
      <w:r>
        <w:rPr>
          <w:rFonts w:ascii="Arial"/>
          <w:sz w:val="19"/>
        </w:rPr>
        <w:t>e AMTrust;</w:t>
      </w:r>
    </w:p>
    <w:p>
      <w:pPr>
        <w:pStyle w:val="ListParagraph"/>
        <w:numPr>
          <w:ilvl w:val="1"/>
          <w:numId w:val="38"/>
        </w:numPr>
        <w:tabs>
          <w:tab w:pos="1468" w:val="left" w:leader="none"/>
        </w:tabs>
        <w:spacing w:line="237" w:lineRule="auto" w:before="6" w:after="0"/>
        <w:ind w:left="1467" w:right="2199" w:hanging="400"/>
        <w:jc w:val="both"/>
        <w:rPr>
          <w:rFonts w:ascii="Arial"/>
          <w:sz w:val="19"/>
        </w:rPr>
      </w:pPr>
      <w:r>
        <w:rPr>
          <w:rFonts w:ascii="Arial"/>
          <w:sz w:val="19"/>
        </w:rPr>
        <w:t>Addendum al settlement agreement con le assicurazioni firmato da Beta, Biochemtex e MG Finanziaria (con riserva di produrre Addendum  al  settlement  agreement  sottoscritto  e  siglato     </w:t>
      </w:r>
      <w:r>
        <w:rPr>
          <w:rFonts w:ascii="Arial"/>
          <w:spacing w:val="33"/>
          <w:sz w:val="19"/>
        </w:rPr>
        <w:t> </w:t>
      </w:r>
      <w:r>
        <w:rPr>
          <w:rFonts w:ascii="Arial"/>
          <w:sz w:val="19"/>
        </w:rPr>
        <w:t>da</w:t>
      </w:r>
    </w:p>
    <w:p>
      <w:pPr>
        <w:spacing w:after="0" w:line="237" w:lineRule="auto"/>
        <w:jc w:val="both"/>
        <w:rPr>
          <w:rFonts w:ascii="Arial"/>
          <w:sz w:val="19"/>
        </w:rPr>
        <w:sectPr>
          <w:pgSz w:w="12240" w:h="15840"/>
          <w:pgMar w:header="0" w:footer="790" w:top="1500" w:bottom="980" w:left="1720" w:right="1200"/>
        </w:sectPr>
      </w:pPr>
    </w:p>
    <w:p>
      <w:pPr>
        <w:tabs>
          <w:tab w:pos="2389" w:val="left" w:leader="none"/>
          <w:tab w:pos="3206" w:val="left" w:leader="none"/>
          <w:tab w:pos="4170" w:val="left" w:leader="none"/>
          <w:tab w:pos="6743" w:val="left" w:leader="none"/>
        </w:tabs>
        <w:spacing w:before="97"/>
        <w:ind w:left="1467" w:right="2196" w:firstLine="0"/>
        <w:jc w:val="left"/>
        <w:rPr>
          <w:rFonts w:ascii="Arial"/>
          <w:sz w:val="19"/>
        </w:rPr>
      </w:pPr>
      <w:r>
        <w:rPr>
          <w:rFonts w:ascii="Arial"/>
          <w:sz w:val="19"/>
        </w:rPr>
        <w:t>Beazley,</w:t>
        <w:tab/>
        <w:t>Markel;</w:t>
        <w:tab/>
        <w:t>AMTrust;</w:t>
        <w:tab/>
        <w:t>Catlin/XL;  </w:t>
      </w:r>
      <w:r>
        <w:rPr>
          <w:rFonts w:ascii="Arial"/>
          <w:spacing w:val="28"/>
          <w:sz w:val="19"/>
        </w:rPr>
        <w:t> </w:t>
      </w:r>
      <w:r>
        <w:rPr>
          <w:rFonts w:ascii="Arial"/>
          <w:sz w:val="19"/>
        </w:rPr>
        <w:t>HCC;  </w:t>
      </w:r>
      <w:r>
        <w:rPr>
          <w:rFonts w:ascii="Arial"/>
          <w:spacing w:val="28"/>
          <w:sz w:val="19"/>
        </w:rPr>
        <w:t> </w:t>
      </w:r>
      <w:r>
        <w:rPr>
          <w:rFonts w:ascii="Arial"/>
          <w:sz w:val="19"/>
        </w:rPr>
        <w:t>Antares;</w:t>
        <w:tab/>
      </w:r>
      <w:r>
        <w:rPr>
          <w:rFonts w:ascii="Arial"/>
          <w:w w:val="95"/>
          <w:sz w:val="19"/>
        </w:rPr>
        <w:t>AIG; </w:t>
      </w:r>
      <w:r>
        <w:rPr>
          <w:rFonts w:ascii="Arial"/>
          <w:sz w:val="19"/>
        </w:rPr>
        <w:t>Starstone;</w:t>
      </w:r>
      <w:r>
        <w:rPr>
          <w:rFonts w:ascii="Arial"/>
          <w:spacing w:val="-13"/>
          <w:sz w:val="19"/>
        </w:rPr>
        <w:t> </w:t>
      </w:r>
      <w:r>
        <w:rPr>
          <w:rFonts w:ascii="Arial"/>
          <w:sz w:val="19"/>
        </w:rPr>
        <w:t>AWAC;</w:t>
      </w:r>
      <w:r>
        <w:rPr>
          <w:rFonts w:ascii="Arial"/>
          <w:spacing w:val="-15"/>
          <w:sz w:val="19"/>
        </w:rPr>
        <w:t> </w:t>
      </w:r>
      <w:r>
        <w:rPr>
          <w:rFonts w:ascii="Arial"/>
          <w:sz w:val="19"/>
        </w:rPr>
        <w:t>Great</w:t>
      </w:r>
      <w:r>
        <w:rPr>
          <w:rFonts w:ascii="Arial"/>
          <w:spacing w:val="-15"/>
          <w:sz w:val="19"/>
        </w:rPr>
        <w:t> </w:t>
      </w:r>
      <w:r>
        <w:rPr>
          <w:rFonts w:ascii="Arial"/>
          <w:sz w:val="19"/>
        </w:rPr>
        <w:t>Lakes)</w:t>
      </w:r>
    </w:p>
    <w:p>
      <w:pPr>
        <w:pStyle w:val="ListParagraph"/>
        <w:numPr>
          <w:ilvl w:val="1"/>
          <w:numId w:val="38"/>
        </w:numPr>
        <w:tabs>
          <w:tab w:pos="1468" w:val="left" w:leader="none"/>
        </w:tabs>
        <w:spacing w:line="228" w:lineRule="auto" w:before="13" w:after="0"/>
        <w:ind w:left="1467" w:right="2196" w:hanging="400"/>
        <w:jc w:val="both"/>
        <w:rPr>
          <w:sz w:val="22"/>
        </w:rPr>
      </w:pPr>
      <w:r>
        <w:rPr>
          <w:rFonts w:ascii="Arial" w:hAnsi="Arial"/>
          <w:sz w:val="19"/>
        </w:rPr>
        <w:t>Traduzione Master settlement agreement, settlement agreement con insurers, license agreement, Addendum al master settlement agreement</w:t>
      </w:r>
      <w:r>
        <w:rPr>
          <w:rFonts w:ascii="Arial" w:hAnsi="Arial"/>
          <w:spacing w:val="-15"/>
          <w:sz w:val="19"/>
        </w:rPr>
        <w:t> </w:t>
      </w:r>
      <w:r>
        <w:rPr>
          <w:rFonts w:ascii="Arial" w:hAnsi="Arial"/>
          <w:sz w:val="19"/>
        </w:rPr>
        <w:t>e</w:t>
      </w:r>
      <w:r>
        <w:rPr>
          <w:rFonts w:ascii="Arial" w:hAnsi="Arial"/>
          <w:spacing w:val="-15"/>
          <w:sz w:val="19"/>
        </w:rPr>
        <w:t> </w:t>
      </w:r>
      <w:r>
        <w:rPr>
          <w:rFonts w:ascii="Arial" w:hAnsi="Arial"/>
          <w:sz w:val="19"/>
        </w:rPr>
        <w:t>dell’addendum</w:t>
      </w:r>
      <w:r>
        <w:rPr>
          <w:rFonts w:ascii="Arial" w:hAnsi="Arial"/>
          <w:spacing w:val="-15"/>
          <w:sz w:val="19"/>
        </w:rPr>
        <w:t> </w:t>
      </w:r>
      <w:r>
        <w:rPr>
          <w:rFonts w:ascii="Arial" w:hAnsi="Arial"/>
          <w:sz w:val="19"/>
        </w:rPr>
        <w:t>al</w:t>
      </w:r>
      <w:r>
        <w:rPr>
          <w:rFonts w:ascii="Arial" w:hAnsi="Arial"/>
          <w:spacing w:val="-16"/>
          <w:sz w:val="19"/>
        </w:rPr>
        <w:t> </w:t>
      </w:r>
      <w:r>
        <w:rPr>
          <w:rFonts w:ascii="Arial" w:hAnsi="Arial"/>
          <w:sz w:val="19"/>
        </w:rPr>
        <w:t>settlement</w:t>
      </w:r>
      <w:r>
        <w:rPr>
          <w:rFonts w:ascii="Arial" w:hAnsi="Arial"/>
          <w:spacing w:val="-13"/>
          <w:sz w:val="19"/>
        </w:rPr>
        <w:t> </w:t>
      </w:r>
      <w:r>
        <w:rPr>
          <w:rFonts w:ascii="Arial" w:hAnsi="Arial"/>
          <w:sz w:val="19"/>
        </w:rPr>
        <w:t>agreement</w:t>
      </w:r>
    </w:p>
    <w:p>
      <w:pPr>
        <w:pStyle w:val="ListParagraph"/>
        <w:numPr>
          <w:ilvl w:val="0"/>
          <w:numId w:val="38"/>
        </w:numPr>
        <w:tabs>
          <w:tab w:pos="1079" w:val="left" w:leader="none"/>
        </w:tabs>
        <w:spacing w:line="240" w:lineRule="auto" w:before="7" w:after="0"/>
        <w:ind w:left="1078" w:right="0" w:hanging="340"/>
        <w:jc w:val="left"/>
        <w:rPr>
          <w:sz w:val="22"/>
        </w:rPr>
      </w:pPr>
      <w:r>
        <w:rPr>
          <w:w w:val="105"/>
          <w:sz w:val="22"/>
        </w:rPr>
        <w:t>Attestazione</w:t>
      </w:r>
    </w:p>
    <w:p>
      <w:pPr>
        <w:pStyle w:val="BodyText"/>
        <w:spacing w:before="2"/>
        <w:rPr>
          <w:sz w:val="23"/>
        </w:rPr>
      </w:pPr>
    </w:p>
    <w:p>
      <w:pPr>
        <w:pStyle w:val="ListParagraph"/>
        <w:numPr>
          <w:ilvl w:val="0"/>
          <w:numId w:val="38"/>
        </w:numPr>
        <w:tabs>
          <w:tab w:pos="1079" w:val="left" w:leader="none"/>
        </w:tabs>
        <w:spacing w:line="240" w:lineRule="auto" w:before="0" w:after="0"/>
        <w:ind w:left="1078" w:right="0" w:hanging="340"/>
        <w:jc w:val="left"/>
        <w:rPr>
          <w:sz w:val="22"/>
        </w:rPr>
      </w:pPr>
      <w:r>
        <w:rPr>
          <w:w w:val="105"/>
          <w:sz w:val="22"/>
        </w:rPr>
        <w:t>Perizia</w:t>
      </w:r>
      <w:r>
        <w:rPr>
          <w:spacing w:val="-26"/>
          <w:w w:val="105"/>
          <w:sz w:val="22"/>
        </w:rPr>
        <w:t> </w:t>
      </w:r>
      <w:r>
        <w:rPr>
          <w:w w:val="105"/>
          <w:sz w:val="22"/>
        </w:rPr>
        <w:t>BIO</w:t>
      </w:r>
    </w:p>
    <w:p>
      <w:pPr>
        <w:pStyle w:val="BodyText"/>
        <w:spacing w:before="1"/>
        <w:rPr>
          <w:sz w:val="23"/>
        </w:rPr>
      </w:pPr>
    </w:p>
    <w:p>
      <w:pPr>
        <w:pStyle w:val="ListParagraph"/>
        <w:numPr>
          <w:ilvl w:val="0"/>
          <w:numId w:val="38"/>
        </w:numPr>
        <w:tabs>
          <w:tab w:pos="1079" w:val="left" w:leader="none"/>
        </w:tabs>
        <w:spacing w:line="240" w:lineRule="auto" w:before="0" w:after="0"/>
        <w:ind w:left="1078" w:right="0" w:hanging="340"/>
        <w:jc w:val="left"/>
        <w:rPr>
          <w:sz w:val="22"/>
        </w:rPr>
      </w:pPr>
      <w:r>
        <w:rPr>
          <w:w w:val="105"/>
          <w:sz w:val="22"/>
        </w:rPr>
        <w:t>Allegati</w:t>
      </w:r>
      <w:r>
        <w:rPr>
          <w:spacing w:val="-26"/>
          <w:w w:val="105"/>
          <w:sz w:val="22"/>
        </w:rPr>
        <w:t> </w:t>
      </w:r>
      <w:r>
        <w:rPr>
          <w:w w:val="105"/>
          <w:sz w:val="22"/>
        </w:rPr>
        <w:t>Perizia</w:t>
      </w:r>
      <w:r>
        <w:rPr>
          <w:spacing w:val="-27"/>
          <w:w w:val="105"/>
          <w:sz w:val="22"/>
        </w:rPr>
        <w:t> </w:t>
      </w:r>
      <w:r>
        <w:rPr>
          <w:w w:val="105"/>
          <w:sz w:val="22"/>
        </w:rPr>
        <w:t>BIO</w:t>
      </w:r>
    </w:p>
    <w:p>
      <w:pPr>
        <w:pStyle w:val="BodyText"/>
        <w:spacing w:before="1"/>
        <w:rPr>
          <w:sz w:val="23"/>
        </w:rPr>
      </w:pPr>
    </w:p>
    <w:p>
      <w:pPr>
        <w:pStyle w:val="ListParagraph"/>
        <w:numPr>
          <w:ilvl w:val="0"/>
          <w:numId w:val="38"/>
        </w:numPr>
        <w:tabs>
          <w:tab w:pos="1079" w:val="left" w:leader="none"/>
        </w:tabs>
        <w:spacing w:line="240" w:lineRule="auto" w:before="0" w:after="0"/>
        <w:ind w:left="1078" w:right="0" w:hanging="340"/>
        <w:jc w:val="left"/>
        <w:rPr>
          <w:sz w:val="22"/>
        </w:rPr>
      </w:pPr>
      <w:r>
        <w:rPr>
          <w:w w:val="105"/>
          <w:sz w:val="22"/>
        </w:rPr>
        <w:t>Perizia</w:t>
      </w:r>
      <w:r>
        <w:rPr>
          <w:spacing w:val="-39"/>
          <w:w w:val="105"/>
          <w:sz w:val="22"/>
        </w:rPr>
        <w:t> </w:t>
      </w:r>
      <w:r>
        <w:rPr>
          <w:w w:val="105"/>
          <w:sz w:val="22"/>
        </w:rPr>
        <w:t>Bolamperti</w:t>
      </w:r>
    </w:p>
    <w:p>
      <w:pPr>
        <w:pStyle w:val="BodyText"/>
        <w:spacing w:before="2"/>
        <w:rPr>
          <w:sz w:val="23"/>
        </w:rPr>
      </w:pPr>
    </w:p>
    <w:p>
      <w:pPr>
        <w:pStyle w:val="ListParagraph"/>
        <w:numPr>
          <w:ilvl w:val="0"/>
          <w:numId w:val="38"/>
        </w:numPr>
        <w:tabs>
          <w:tab w:pos="1079" w:val="left" w:leader="none"/>
        </w:tabs>
        <w:spacing w:line="240" w:lineRule="auto" w:before="0" w:after="0"/>
        <w:ind w:left="1078" w:right="0" w:hanging="340"/>
        <w:jc w:val="left"/>
        <w:rPr>
          <w:sz w:val="22"/>
        </w:rPr>
      </w:pPr>
      <w:r>
        <w:rPr>
          <w:w w:val="105"/>
          <w:sz w:val="22"/>
        </w:rPr>
        <w:t>Comunicazione</w:t>
      </w:r>
      <w:r>
        <w:rPr>
          <w:spacing w:val="-25"/>
          <w:w w:val="105"/>
          <w:sz w:val="22"/>
        </w:rPr>
        <w:t> </w:t>
      </w:r>
      <w:r>
        <w:rPr>
          <w:w w:val="105"/>
          <w:sz w:val="22"/>
        </w:rPr>
        <w:t>Versalis</w:t>
      </w:r>
      <w:r>
        <w:rPr>
          <w:spacing w:val="-24"/>
          <w:w w:val="105"/>
          <w:sz w:val="22"/>
        </w:rPr>
        <w:t> </w:t>
      </w:r>
      <w:r>
        <w:rPr>
          <w:w w:val="105"/>
          <w:sz w:val="22"/>
        </w:rPr>
        <w:t>22</w:t>
      </w:r>
      <w:r>
        <w:rPr>
          <w:spacing w:val="-25"/>
          <w:w w:val="105"/>
          <w:sz w:val="22"/>
        </w:rPr>
        <w:t> </w:t>
      </w:r>
      <w:r>
        <w:rPr>
          <w:w w:val="105"/>
          <w:sz w:val="22"/>
        </w:rPr>
        <w:t>marzo</w:t>
      </w:r>
      <w:r>
        <w:rPr>
          <w:spacing w:val="-25"/>
          <w:w w:val="105"/>
          <w:sz w:val="22"/>
        </w:rPr>
        <w:t> </w:t>
      </w:r>
      <w:r>
        <w:rPr>
          <w:w w:val="105"/>
          <w:sz w:val="22"/>
        </w:rPr>
        <w:t>2018</w:t>
      </w:r>
    </w:p>
    <w:p>
      <w:pPr>
        <w:pStyle w:val="BodyText"/>
        <w:rPr>
          <w:sz w:val="23"/>
        </w:rPr>
      </w:pPr>
    </w:p>
    <w:p>
      <w:pPr>
        <w:pStyle w:val="ListParagraph"/>
        <w:numPr>
          <w:ilvl w:val="0"/>
          <w:numId w:val="38"/>
        </w:numPr>
        <w:tabs>
          <w:tab w:pos="1079" w:val="left" w:leader="none"/>
        </w:tabs>
        <w:spacing w:line="240" w:lineRule="auto" w:before="1" w:after="0"/>
        <w:ind w:left="1078" w:right="0" w:hanging="340"/>
        <w:jc w:val="left"/>
        <w:rPr>
          <w:sz w:val="22"/>
        </w:rPr>
      </w:pPr>
      <w:r>
        <w:rPr>
          <w:w w:val="105"/>
          <w:sz w:val="22"/>
        </w:rPr>
        <w:t>Proposta</w:t>
      </w:r>
      <w:r>
        <w:rPr>
          <w:spacing w:val="-37"/>
          <w:w w:val="105"/>
          <w:sz w:val="22"/>
        </w:rPr>
        <w:t> </w:t>
      </w:r>
      <w:r>
        <w:rPr>
          <w:w w:val="105"/>
          <w:sz w:val="22"/>
        </w:rPr>
        <w:t>Banche</w:t>
      </w:r>
    </w:p>
    <w:p>
      <w:pPr>
        <w:pStyle w:val="BodyText"/>
        <w:spacing w:before="2"/>
        <w:rPr>
          <w:sz w:val="23"/>
        </w:rPr>
      </w:pPr>
    </w:p>
    <w:p>
      <w:pPr>
        <w:pStyle w:val="ListParagraph"/>
        <w:numPr>
          <w:ilvl w:val="0"/>
          <w:numId w:val="38"/>
        </w:numPr>
        <w:tabs>
          <w:tab w:pos="1079" w:val="left" w:leader="none"/>
        </w:tabs>
        <w:spacing w:line="240" w:lineRule="auto" w:before="0" w:after="0"/>
        <w:ind w:left="1078" w:right="0" w:hanging="340"/>
        <w:jc w:val="left"/>
        <w:rPr>
          <w:sz w:val="22"/>
        </w:rPr>
      </w:pPr>
      <w:r>
        <w:rPr>
          <w:sz w:val="22"/>
        </w:rPr>
        <w:t>Comunicazione</w:t>
      </w:r>
      <w:r>
        <w:rPr>
          <w:spacing w:val="42"/>
          <w:sz w:val="22"/>
        </w:rPr>
        <w:t> </w:t>
      </w:r>
      <w:r>
        <w:rPr>
          <w:sz w:val="22"/>
        </w:rPr>
        <w:t>Assicurazioni</w:t>
      </w:r>
    </w:p>
    <w:p>
      <w:pPr>
        <w:pStyle w:val="BodyText"/>
        <w:rPr>
          <w:sz w:val="23"/>
        </w:rPr>
      </w:pPr>
    </w:p>
    <w:p>
      <w:pPr>
        <w:pStyle w:val="BodyText"/>
        <w:ind w:left="476" w:right="2272"/>
        <w:jc w:val="center"/>
      </w:pPr>
      <w:r>
        <w:rPr>
          <w:w w:val="105"/>
        </w:rPr>
        <w:t>* * *</w:t>
      </w:r>
    </w:p>
    <w:p>
      <w:pPr>
        <w:pStyle w:val="BodyText"/>
        <w:rPr>
          <w:sz w:val="23"/>
        </w:rPr>
      </w:pPr>
    </w:p>
    <w:p>
      <w:pPr>
        <w:pStyle w:val="BodyText"/>
        <w:ind w:left="476" w:right="2273"/>
        <w:jc w:val="center"/>
      </w:pPr>
      <w:r>
        <w:rPr>
          <w:w w:val="105"/>
        </w:rPr>
        <w:t>Si deposita il contributo unificato pari ad euro 98,00 e marca da bollo da</w:t>
      </w:r>
    </w:p>
    <w:p>
      <w:pPr>
        <w:pStyle w:val="BodyText"/>
        <w:spacing w:before="9"/>
        <w:rPr>
          <w:sz w:val="13"/>
        </w:rPr>
      </w:pPr>
    </w:p>
    <w:p>
      <w:pPr>
        <w:spacing w:after="0"/>
        <w:rPr>
          <w:sz w:val="13"/>
        </w:rPr>
        <w:sectPr>
          <w:pgSz w:w="12240" w:h="15840"/>
          <w:pgMar w:header="0" w:footer="790" w:top="1500" w:bottom="980" w:left="1720" w:right="1200"/>
        </w:sectPr>
      </w:pPr>
    </w:p>
    <w:p>
      <w:pPr>
        <w:pStyle w:val="BodyText"/>
        <w:spacing w:before="105"/>
        <w:ind w:left="400"/>
      </w:pPr>
      <w:r>
        <w:rPr>
          <w:w w:val="105"/>
        </w:rPr>
        <w:t>euro 27,00.</w:t>
      </w:r>
    </w:p>
    <w:p>
      <w:pPr>
        <w:pStyle w:val="BodyText"/>
        <w:rPr>
          <w:sz w:val="24"/>
        </w:rPr>
      </w:pPr>
    </w:p>
    <w:p>
      <w:pPr>
        <w:pStyle w:val="BodyText"/>
        <w:rPr>
          <w:sz w:val="24"/>
        </w:rPr>
      </w:pPr>
    </w:p>
    <w:p>
      <w:pPr>
        <w:pStyle w:val="BodyText"/>
        <w:spacing w:before="2"/>
        <w:rPr>
          <w:sz w:val="20"/>
        </w:rPr>
      </w:pPr>
    </w:p>
    <w:p>
      <w:pPr>
        <w:pStyle w:val="BodyText"/>
        <w:ind w:left="400"/>
      </w:pPr>
      <w:r>
        <w:rPr/>
        <w:t>Con osservanza.</w:t>
      </w:r>
    </w:p>
    <w:p>
      <w:pPr>
        <w:pStyle w:val="BodyText"/>
        <w:rPr>
          <w:sz w:val="24"/>
        </w:rPr>
      </w:pPr>
      <w:r>
        <w:rPr/>
        <w:br w:type="column"/>
      </w:r>
      <w:r>
        <w:rPr>
          <w:sz w:val="24"/>
        </w:rPr>
      </w:r>
    </w:p>
    <w:p>
      <w:pPr>
        <w:pStyle w:val="BodyText"/>
        <w:spacing w:before="5"/>
        <w:rPr>
          <w:sz w:val="30"/>
        </w:rPr>
      </w:pPr>
    </w:p>
    <w:p>
      <w:pPr>
        <w:pStyle w:val="BodyText"/>
        <w:ind w:left="400"/>
      </w:pPr>
      <w:r>
        <w:rPr>
          <w:w w:val="105"/>
        </w:rPr>
        <w:t>* * *</w:t>
      </w:r>
    </w:p>
    <w:p>
      <w:pPr>
        <w:spacing w:after="0"/>
        <w:sectPr>
          <w:type w:val="continuous"/>
          <w:pgSz w:w="12240" w:h="15840"/>
          <w:pgMar w:top="1220" w:bottom="980" w:left="1720" w:right="1200"/>
          <w:cols w:num="2" w:equalWidth="0">
            <w:col w:w="1829" w:space="1331"/>
            <w:col w:w="6160"/>
          </w:cols>
        </w:sectPr>
      </w:pPr>
    </w:p>
    <w:p>
      <w:pPr>
        <w:pStyle w:val="BodyText"/>
        <w:spacing w:before="9"/>
        <w:rPr>
          <w:sz w:val="13"/>
        </w:rPr>
      </w:pPr>
    </w:p>
    <w:p>
      <w:pPr>
        <w:spacing w:line="491" w:lineRule="auto" w:before="105"/>
        <w:ind w:left="400" w:right="5197" w:firstLine="0"/>
        <w:jc w:val="left"/>
        <w:rPr>
          <w:b/>
          <w:sz w:val="22"/>
        </w:rPr>
      </w:pPr>
      <w:r>
        <w:rPr>
          <w:w w:val="105"/>
          <w:sz w:val="22"/>
        </w:rPr>
        <w:t>Milano-Torino-Alessandria,</w:t>
      </w:r>
      <w:r>
        <w:rPr>
          <w:spacing w:val="-28"/>
          <w:w w:val="105"/>
          <w:sz w:val="22"/>
        </w:rPr>
        <w:t> </w:t>
      </w:r>
      <w:r>
        <w:rPr>
          <w:w w:val="105"/>
          <w:sz w:val="22"/>
        </w:rPr>
        <w:t>23</w:t>
      </w:r>
      <w:r>
        <w:rPr>
          <w:spacing w:val="-28"/>
          <w:w w:val="105"/>
          <w:sz w:val="22"/>
        </w:rPr>
        <w:t> </w:t>
      </w:r>
      <w:r>
        <w:rPr>
          <w:w w:val="105"/>
          <w:sz w:val="22"/>
        </w:rPr>
        <w:t>aprile</w:t>
      </w:r>
      <w:r>
        <w:rPr>
          <w:spacing w:val="-29"/>
          <w:w w:val="105"/>
          <w:sz w:val="22"/>
        </w:rPr>
        <w:t> </w:t>
      </w:r>
      <w:r>
        <w:rPr>
          <w:w w:val="105"/>
          <w:sz w:val="22"/>
        </w:rPr>
        <w:t>2018 Per</w:t>
      </w:r>
      <w:r>
        <w:rPr>
          <w:spacing w:val="-36"/>
          <w:w w:val="105"/>
          <w:sz w:val="22"/>
        </w:rPr>
        <w:t> </w:t>
      </w:r>
      <w:r>
        <w:rPr>
          <w:b/>
          <w:w w:val="105"/>
          <w:sz w:val="22"/>
          <w:u w:val="single"/>
        </w:rPr>
        <w:t>BIOCHEMTEX</w:t>
      </w:r>
      <w:r>
        <w:rPr>
          <w:b/>
          <w:spacing w:val="-36"/>
          <w:w w:val="105"/>
          <w:sz w:val="22"/>
          <w:u w:val="single"/>
        </w:rPr>
        <w:t> </w:t>
      </w:r>
      <w:r>
        <w:rPr>
          <w:b/>
          <w:w w:val="105"/>
          <w:sz w:val="22"/>
          <w:u w:val="single"/>
        </w:rPr>
        <w:t>S.P.A.</w:t>
      </w:r>
    </w:p>
    <w:p>
      <w:pPr>
        <w:pStyle w:val="BodyText"/>
        <w:ind w:left="400"/>
      </w:pPr>
      <w:r>
        <w:rPr>
          <w:w w:val="105"/>
        </w:rPr>
        <w:t>Ing. Giovanni Bolcheni</w:t>
      </w:r>
    </w:p>
    <w:p>
      <w:pPr>
        <w:pStyle w:val="BodyText"/>
        <w:rPr>
          <w:sz w:val="20"/>
        </w:rPr>
      </w:pPr>
    </w:p>
    <w:p>
      <w:pPr>
        <w:pStyle w:val="BodyText"/>
        <w:spacing w:before="10"/>
        <w:rPr>
          <w:sz w:val="17"/>
        </w:rPr>
      </w:pPr>
      <w:r>
        <w:rPr/>
        <w:pict>
          <v:line style="position:absolute;mso-position-horizontal-relative:page;mso-position-vertical-relative:paragraph;z-index:2272;mso-wrap-distance-left:0;mso-wrap-distance-right:0" from="106.019997pt,12.325001pt" to="207.671103pt,12.325001pt" stroked="true" strokeweight=".564490pt" strokecolor="#000000">
            <v:stroke dashstyle="solid"/>
            <w10:wrap type="topAndBottom"/>
          </v:line>
        </w:pict>
      </w:r>
    </w:p>
    <w:p>
      <w:pPr>
        <w:pStyle w:val="BodyText"/>
        <w:spacing w:before="9"/>
        <w:rPr>
          <w:sz w:val="13"/>
        </w:rPr>
      </w:pPr>
    </w:p>
    <w:p>
      <w:pPr>
        <w:pStyle w:val="BodyText"/>
        <w:spacing w:before="105"/>
        <w:ind w:left="400"/>
      </w:pPr>
      <w:r>
        <w:rPr>
          <w:w w:val="105"/>
        </w:rPr>
        <w:t>Avv. Alberto Nanni</w:t>
      </w:r>
    </w:p>
    <w:p>
      <w:pPr>
        <w:pStyle w:val="BodyText"/>
        <w:rPr>
          <w:sz w:val="20"/>
        </w:rPr>
      </w:pPr>
    </w:p>
    <w:p>
      <w:pPr>
        <w:pStyle w:val="BodyText"/>
        <w:rPr>
          <w:sz w:val="18"/>
        </w:rPr>
      </w:pPr>
      <w:r>
        <w:rPr/>
        <w:pict>
          <v:line style="position:absolute;mso-position-horizontal-relative:page;mso-position-vertical-relative:paragraph;z-index:2296;mso-wrap-distance-left:0;mso-wrap-distance-right:0" from="106.019997pt,12.41638pt" to="185.04521pt,12.41638pt" stroked="true" strokeweight=".564490pt" strokecolor="#000000">
            <v:stroke dashstyle="solid"/>
            <w10:wrap type="topAndBottom"/>
          </v:line>
        </w:pict>
      </w:r>
    </w:p>
    <w:p>
      <w:pPr>
        <w:pStyle w:val="BodyText"/>
        <w:spacing w:before="9"/>
        <w:rPr>
          <w:sz w:val="13"/>
        </w:rPr>
      </w:pPr>
    </w:p>
    <w:p>
      <w:pPr>
        <w:pStyle w:val="BodyText"/>
        <w:spacing w:before="105"/>
        <w:ind w:left="400"/>
      </w:pPr>
      <w:r>
        <w:rPr>
          <w:w w:val="105"/>
        </w:rPr>
        <w:t>Avv. Gabriella Covino</w:t>
      </w:r>
    </w:p>
    <w:p>
      <w:pPr>
        <w:pStyle w:val="BodyText"/>
        <w:rPr>
          <w:sz w:val="20"/>
        </w:rPr>
      </w:pPr>
    </w:p>
    <w:p>
      <w:pPr>
        <w:pStyle w:val="BodyText"/>
        <w:spacing w:before="10"/>
        <w:rPr>
          <w:sz w:val="17"/>
        </w:rPr>
      </w:pPr>
      <w:r>
        <w:rPr/>
        <w:pict>
          <v:line style="position:absolute;mso-position-horizontal-relative:page;mso-position-vertical-relative:paragraph;z-index:2320;mso-wrap-distance-left:0;mso-wrap-distance-right:0" from="106.019997pt,12.355421pt" to="190.685594pt,12.355421pt" stroked="true" strokeweight=".564490pt" strokecolor="#000000">
            <v:stroke dashstyle="solid"/>
            <w10:wrap type="topAndBottom"/>
          </v:line>
        </w:pict>
      </w:r>
    </w:p>
    <w:p>
      <w:pPr>
        <w:pStyle w:val="BodyText"/>
        <w:spacing w:before="10"/>
        <w:rPr>
          <w:sz w:val="13"/>
        </w:rPr>
      </w:pPr>
    </w:p>
    <w:p>
      <w:pPr>
        <w:pStyle w:val="BodyText"/>
        <w:spacing w:before="105"/>
        <w:ind w:left="400"/>
      </w:pPr>
      <w:r>
        <w:rPr>
          <w:w w:val="105"/>
        </w:rPr>
        <w:t>Avv. Luca Jeantet</w:t>
      </w:r>
    </w:p>
    <w:p>
      <w:pPr>
        <w:pStyle w:val="BodyText"/>
        <w:rPr>
          <w:sz w:val="20"/>
        </w:rPr>
      </w:pPr>
    </w:p>
    <w:p>
      <w:pPr>
        <w:pStyle w:val="BodyText"/>
        <w:spacing w:before="10"/>
        <w:rPr>
          <w:sz w:val="17"/>
        </w:rPr>
      </w:pPr>
      <w:r>
        <w:rPr/>
        <w:pict>
          <v:line style="position:absolute;mso-position-horizontal-relative:page;mso-position-vertical-relative:paragraph;z-index:2344;mso-wrap-distance-left:0;mso-wrap-distance-right:0" from="106.019997pt,12.344462pt" to="190.685594pt,12.344462pt" stroked="true" strokeweight=".564490pt" strokecolor="#000000">
            <v:stroke dashstyle="solid"/>
            <w10:wrap type="topAndBottom"/>
          </v:line>
        </w:pict>
      </w:r>
    </w:p>
    <w:p>
      <w:pPr>
        <w:spacing w:after="0"/>
        <w:rPr>
          <w:sz w:val="17"/>
        </w:rPr>
        <w:sectPr>
          <w:type w:val="continuous"/>
          <w:pgSz w:w="12240" w:h="15840"/>
          <w:pgMar w:top="1220" w:bottom="980" w:left="1720" w:right="1200"/>
        </w:sectPr>
      </w:pPr>
    </w:p>
    <w:p>
      <w:pPr>
        <w:pStyle w:val="BodyText"/>
        <w:spacing w:before="105"/>
        <w:ind w:left="400"/>
      </w:pPr>
      <w:r>
        <w:rPr>
          <w:w w:val="105"/>
        </w:rPr>
        <w:t>Avv. Daniela Amhof</w:t>
      </w:r>
    </w:p>
    <w:p>
      <w:pPr>
        <w:pStyle w:val="BodyText"/>
        <w:rPr>
          <w:sz w:val="20"/>
        </w:rPr>
      </w:pPr>
    </w:p>
    <w:p>
      <w:pPr>
        <w:pStyle w:val="BodyText"/>
        <w:spacing w:before="10"/>
        <w:rPr>
          <w:sz w:val="17"/>
        </w:rPr>
      </w:pPr>
      <w:r>
        <w:rPr/>
        <w:pict>
          <v:line style="position:absolute;mso-position-horizontal-relative:page;mso-position-vertical-relative:paragraph;z-index:2368;mso-wrap-distance-left:0;mso-wrap-distance-right:0" from="106.019997pt,12.333386pt" to="190.685594pt,12.333386pt" stroked="true" strokeweight=".564490pt" strokecolor="#000000">
            <v:stroke dashstyle="solid"/>
            <w10:wrap type="topAndBottom"/>
          </v:line>
        </w:pict>
      </w:r>
    </w:p>
    <w:p>
      <w:pPr>
        <w:pStyle w:val="BodyText"/>
        <w:spacing w:before="10"/>
        <w:rPr>
          <w:sz w:val="13"/>
        </w:rPr>
      </w:pPr>
    </w:p>
    <w:p>
      <w:pPr>
        <w:pStyle w:val="BodyText"/>
        <w:spacing w:before="105"/>
        <w:ind w:left="400"/>
      </w:pPr>
      <w:r>
        <w:rPr>
          <w:w w:val="105"/>
        </w:rPr>
        <w:t>Avv. Luca Gastini</w:t>
      </w:r>
    </w:p>
    <w:p>
      <w:pPr>
        <w:pStyle w:val="BodyText"/>
        <w:rPr>
          <w:sz w:val="20"/>
        </w:rPr>
      </w:pPr>
    </w:p>
    <w:p>
      <w:pPr>
        <w:pStyle w:val="BodyText"/>
        <w:spacing w:before="10"/>
        <w:rPr>
          <w:sz w:val="17"/>
        </w:rPr>
      </w:pPr>
      <w:r>
        <w:rPr/>
        <w:pict>
          <v:line style="position:absolute;mso-position-horizontal-relative:page;mso-position-vertical-relative:paragraph;z-index:2392;mso-wrap-distance-left:0;mso-wrap-distance-right:0" from="106.019997pt,12.345546pt" to="201.966365pt,12.345546pt" stroked="true" strokeweight=".564490pt" strokecolor="#000000">
            <v:stroke dashstyle="solid"/>
            <w10:wrap type="topAndBottom"/>
          </v:line>
        </w:pict>
      </w:r>
    </w:p>
    <w:sectPr>
      <w:pgSz w:w="12240" w:h="15840"/>
      <w:pgMar w:header="0" w:footer="790" w:top="1500" w:bottom="980" w:left="1720" w:right="12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Garamond">
    <w:altName w:val="Garamond"/>
    <w:charset w:val="0"/>
    <w:family w:val="roman"/>
    <w:pitch w:val="variable"/>
  </w:font>
  <w:font w:name="Symbol">
    <w:altName w:val="Symbol"/>
    <w:charset w:val="2"/>
    <w:family w:val="roman"/>
    <w:pitch w:val="variable"/>
  </w:font>
  <w:font w:name="Wingdings">
    <w:altName w:val="Wingdings"/>
    <w:charset w:val="2"/>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534.759888pt;margin-top:741.514587pt;width:13.45pt;height:11.5pt;mso-position-horizontal-relative:page;mso-position-vertical-relative:page;z-index:-88576" type="#_x0000_t202" filled="false" stroked="false">
          <v:textbox inset="0,0,0,0">
            <w:txbxContent>
              <w:p>
                <w:pPr>
                  <w:spacing w:before="14"/>
                  <w:ind w:left="40" w:right="0" w:firstLine="0"/>
                  <w:jc w:val="left"/>
                  <w:rPr>
                    <w:rFonts w:ascii="Arial"/>
                    <w:sz w:val="17"/>
                  </w:rPr>
                </w:pPr>
                <w:r>
                  <w:rPr/>
                  <w:fldChar w:fldCharType="begin"/>
                </w:r>
                <w:r>
                  <w:rPr>
                    <w:rFonts w:ascii="Arial"/>
                    <w:color w:val="DE9708"/>
                    <w:sz w:val="17"/>
                  </w:rPr>
                  <w:instrText> PAGE </w:instrText>
                </w:r>
                <w:r>
                  <w:rPr/>
                  <w:fldChar w:fldCharType="separate"/>
                </w:r>
                <w:r>
                  <w:rPr/>
                  <w:t>10</w:t>
                </w:r>
                <w:r>
                  <w:rPr/>
                  <w:fldChar w:fldCharType="end"/>
                </w:r>
              </w:p>
            </w:txbxContent>
          </v:textbox>
          <w10:wrap type="none"/>
        </v:shape>
      </w:pict>
    </w:r>
    <w:r>
      <w:rPr/>
      <w:pict>
        <v:shape style="position:absolute;margin-left:105.019997pt;margin-top:744.069824pt;width:152.25pt;height:8.35pt;mso-position-horizontal-relative:page;mso-position-vertical-relative:page;z-index:-88552" type="#_x0000_t202" filled="false" stroked="false">
          <v:textbox inset="0,0,0,0">
            <w:txbxContent>
              <w:p>
                <w:pPr>
                  <w:spacing w:before="19"/>
                  <w:ind w:left="20" w:right="0" w:firstLine="0"/>
                  <w:jc w:val="left"/>
                  <w:rPr>
                    <w:rFonts w:ascii="Arial"/>
                    <w:sz w:val="11"/>
                  </w:rPr>
                </w:pPr>
                <w:r>
                  <w:rPr>
                    <w:rFonts w:ascii="Arial"/>
                    <w:color w:val="DE9708"/>
                    <w:w w:val="105"/>
                    <w:sz w:val="11"/>
                  </w:rPr>
                  <w:t>Doc.</w:t>
                </w:r>
                <w:r>
                  <w:rPr>
                    <w:rFonts w:ascii="Arial"/>
                    <w:color w:val="DE9708"/>
                    <w:spacing w:val="-13"/>
                    <w:w w:val="105"/>
                    <w:sz w:val="11"/>
                  </w:rPr>
                  <w:t> </w:t>
                </w:r>
                <w:r>
                  <w:rPr>
                    <w:rFonts w:ascii="Arial"/>
                    <w:color w:val="DE9708"/>
                    <w:w w:val="105"/>
                    <w:sz w:val="11"/>
                  </w:rPr>
                  <w:t>#:</w:t>
                </w:r>
                <w:r>
                  <w:rPr>
                    <w:rFonts w:ascii="Arial"/>
                    <w:color w:val="DE9708"/>
                    <w:spacing w:val="-12"/>
                    <w:w w:val="105"/>
                    <w:sz w:val="11"/>
                  </w:rPr>
                  <w:t> </w:t>
                </w:r>
                <w:r>
                  <w:rPr>
                    <w:rFonts w:ascii="Arial"/>
                    <w:color w:val="DE9708"/>
                    <w:w w:val="105"/>
                    <w:sz w:val="11"/>
                  </w:rPr>
                  <w:t>BIOCHEMTEX</w:t>
                </w:r>
                <w:r>
                  <w:rPr>
                    <w:rFonts w:ascii="Arial"/>
                    <w:color w:val="DE9708"/>
                    <w:spacing w:val="-13"/>
                    <w:w w:val="105"/>
                    <w:sz w:val="11"/>
                  </w:rPr>
                  <w:t> </w:t>
                </w:r>
                <w:r>
                  <w:rPr>
                    <w:rFonts w:ascii="Arial"/>
                    <w:color w:val="DE9708"/>
                    <w:w w:val="105"/>
                    <w:sz w:val="11"/>
                  </w:rPr>
                  <w:t>-</w:t>
                </w:r>
                <w:r>
                  <w:rPr>
                    <w:rFonts w:ascii="Arial"/>
                    <w:color w:val="DE9708"/>
                    <w:spacing w:val="-13"/>
                    <w:w w:val="105"/>
                    <w:sz w:val="11"/>
                  </w:rPr>
                  <w:t> </w:t>
                </w:r>
                <w:r>
                  <w:rPr>
                    <w:rFonts w:ascii="Arial"/>
                    <w:color w:val="DE9708"/>
                    <w:w w:val="105"/>
                    <w:sz w:val="11"/>
                  </w:rPr>
                  <w:t>Memoria</w:t>
                </w:r>
                <w:r>
                  <w:rPr>
                    <w:rFonts w:ascii="Arial"/>
                    <w:color w:val="DE9708"/>
                    <w:spacing w:val="-13"/>
                    <w:w w:val="105"/>
                    <w:sz w:val="11"/>
                  </w:rPr>
                  <w:t> </w:t>
                </w:r>
                <w:r>
                  <w:rPr>
                    <w:rFonts w:ascii="Arial"/>
                    <w:color w:val="DE9708"/>
                    <w:w w:val="105"/>
                    <w:sz w:val="11"/>
                  </w:rPr>
                  <w:t>deposito</w:t>
                </w:r>
                <w:r>
                  <w:rPr>
                    <w:rFonts w:ascii="Arial"/>
                    <w:color w:val="DE9708"/>
                    <w:spacing w:val="-13"/>
                    <w:w w:val="105"/>
                    <w:sz w:val="11"/>
                  </w:rPr>
                  <w:t> </w:t>
                </w:r>
                <w:r>
                  <w:rPr>
                    <w:rFonts w:ascii="Arial"/>
                    <w:color w:val="DE9708"/>
                    <w:w w:val="105"/>
                    <w:sz w:val="11"/>
                  </w:rPr>
                  <w:t>piano</w:t>
                </w:r>
                <w:r>
                  <w:rPr>
                    <w:rFonts w:ascii="Arial"/>
                    <w:color w:val="DE9708"/>
                    <w:spacing w:val="-13"/>
                    <w:w w:val="105"/>
                    <w:sz w:val="11"/>
                  </w:rPr>
                  <w:t> </w:t>
                </w:r>
                <w:r>
                  <w:rPr>
                    <w:rFonts w:ascii="Arial"/>
                    <w:color w:val="DE9708"/>
                    <w:w w:val="105"/>
                    <w:sz w:val="11"/>
                  </w:rPr>
                  <w:t>e</w:t>
                </w:r>
                <w:r>
                  <w:rPr>
                    <w:rFonts w:ascii="Arial"/>
                    <w:color w:val="DE9708"/>
                    <w:spacing w:val="-12"/>
                    <w:w w:val="105"/>
                    <w:sz w:val="11"/>
                  </w:rPr>
                  <w:t> </w:t>
                </w:r>
                <w:r>
                  <w:rPr>
                    <w:rFonts w:ascii="Arial"/>
                    <w:color w:val="DE9708"/>
                    <w:w w:val="105"/>
                    <w:sz w:val="11"/>
                  </w:rPr>
                  <w:t>proposta</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5">
    <w:multiLevelType w:val="hybridMultilevel"/>
    <w:lvl w:ilvl="0">
      <w:start w:val="0"/>
      <w:numFmt w:val="bullet"/>
      <w:lvlText w:val=""/>
      <w:lvlJc w:val="left"/>
      <w:pPr>
        <w:ind w:left="1078" w:hanging="340"/>
      </w:pPr>
      <w:rPr>
        <w:rFonts w:hint="default" w:ascii="Symbol" w:hAnsi="Symbol" w:eastAsia="Symbol" w:cs="Symbol"/>
        <w:w w:val="102"/>
        <w:sz w:val="22"/>
        <w:szCs w:val="22"/>
      </w:rPr>
    </w:lvl>
    <w:lvl w:ilvl="1">
      <w:start w:val="0"/>
      <w:numFmt w:val="bullet"/>
      <w:lvlText w:val="•"/>
      <w:lvlJc w:val="left"/>
      <w:pPr>
        <w:ind w:left="1904" w:hanging="340"/>
      </w:pPr>
      <w:rPr>
        <w:rFonts w:hint="default"/>
      </w:rPr>
    </w:lvl>
    <w:lvl w:ilvl="2">
      <w:start w:val="0"/>
      <w:numFmt w:val="bullet"/>
      <w:lvlText w:val="•"/>
      <w:lvlJc w:val="left"/>
      <w:pPr>
        <w:ind w:left="2728" w:hanging="340"/>
      </w:pPr>
      <w:rPr>
        <w:rFonts w:hint="default"/>
      </w:rPr>
    </w:lvl>
    <w:lvl w:ilvl="3">
      <w:start w:val="0"/>
      <w:numFmt w:val="bullet"/>
      <w:lvlText w:val="•"/>
      <w:lvlJc w:val="left"/>
      <w:pPr>
        <w:ind w:left="3552" w:hanging="340"/>
      </w:pPr>
      <w:rPr>
        <w:rFonts w:hint="default"/>
      </w:rPr>
    </w:lvl>
    <w:lvl w:ilvl="4">
      <w:start w:val="0"/>
      <w:numFmt w:val="bullet"/>
      <w:lvlText w:val="•"/>
      <w:lvlJc w:val="left"/>
      <w:pPr>
        <w:ind w:left="4376" w:hanging="340"/>
      </w:pPr>
      <w:rPr>
        <w:rFonts w:hint="default"/>
      </w:rPr>
    </w:lvl>
    <w:lvl w:ilvl="5">
      <w:start w:val="0"/>
      <w:numFmt w:val="bullet"/>
      <w:lvlText w:val="•"/>
      <w:lvlJc w:val="left"/>
      <w:pPr>
        <w:ind w:left="5200" w:hanging="340"/>
      </w:pPr>
      <w:rPr>
        <w:rFonts w:hint="default"/>
      </w:rPr>
    </w:lvl>
    <w:lvl w:ilvl="6">
      <w:start w:val="0"/>
      <w:numFmt w:val="bullet"/>
      <w:lvlText w:val="•"/>
      <w:lvlJc w:val="left"/>
      <w:pPr>
        <w:ind w:left="6024" w:hanging="340"/>
      </w:pPr>
      <w:rPr>
        <w:rFonts w:hint="default"/>
      </w:rPr>
    </w:lvl>
    <w:lvl w:ilvl="7">
      <w:start w:val="0"/>
      <w:numFmt w:val="bullet"/>
      <w:lvlText w:val="•"/>
      <w:lvlJc w:val="left"/>
      <w:pPr>
        <w:ind w:left="6848" w:hanging="340"/>
      </w:pPr>
      <w:rPr>
        <w:rFonts w:hint="default"/>
      </w:rPr>
    </w:lvl>
    <w:lvl w:ilvl="8">
      <w:start w:val="0"/>
      <w:numFmt w:val="bullet"/>
      <w:lvlText w:val="•"/>
      <w:lvlJc w:val="left"/>
      <w:pPr>
        <w:ind w:left="7672" w:hanging="340"/>
      </w:pPr>
      <w:rPr>
        <w:rFonts w:hint="default"/>
      </w:rPr>
    </w:lvl>
  </w:abstractNum>
  <w:abstractNum w:abstractNumId="28">
    <w:multiLevelType w:val="hybridMultilevel"/>
    <w:lvl w:ilvl="0">
      <w:start w:val="0"/>
      <w:numFmt w:val="bullet"/>
      <w:lvlText w:val=""/>
      <w:lvlJc w:val="left"/>
      <w:pPr>
        <w:ind w:left="1078" w:hanging="340"/>
      </w:pPr>
      <w:rPr>
        <w:rFonts w:hint="default" w:ascii="Symbol" w:hAnsi="Symbol" w:eastAsia="Symbol" w:cs="Symbol"/>
        <w:w w:val="102"/>
        <w:sz w:val="22"/>
        <w:szCs w:val="22"/>
      </w:rPr>
    </w:lvl>
    <w:lvl w:ilvl="1">
      <w:start w:val="0"/>
      <w:numFmt w:val="bullet"/>
      <w:lvlText w:val="•"/>
      <w:lvlJc w:val="left"/>
      <w:pPr>
        <w:ind w:left="1904" w:hanging="340"/>
      </w:pPr>
      <w:rPr>
        <w:rFonts w:hint="default"/>
      </w:rPr>
    </w:lvl>
    <w:lvl w:ilvl="2">
      <w:start w:val="0"/>
      <w:numFmt w:val="bullet"/>
      <w:lvlText w:val="•"/>
      <w:lvlJc w:val="left"/>
      <w:pPr>
        <w:ind w:left="2728" w:hanging="340"/>
      </w:pPr>
      <w:rPr>
        <w:rFonts w:hint="default"/>
      </w:rPr>
    </w:lvl>
    <w:lvl w:ilvl="3">
      <w:start w:val="0"/>
      <w:numFmt w:val="bullet"/>
      <w:lvlText w:val="•"/>
      <w:lvlJc w:val="left"/>
      <w:pPr>
        <w:ind w:left="3552" w:hanging="340"/>
      </w:pPr>
      <w:rPr>
        <w:rFonts w:hint="default"/>
      </w:rPr>
    </w:lvl>
    <w:lvl w:ilvl="4">
      <w:start w:val="0"/>
      <w:numFmt w:val="bullet"/>
      <w:lvlText w:val="•"/>
      <w:lvlJc w:val="left"/>
      <w:pPr>
        <w:ind w:left="4376" w:hanging="340"/>
      </w:pPr>
      <w:rPr>
        <w:rFonts w:hint="default"/>
      </w:rPr>
    </w:lvl>
    <w:lvl w:ilvl="5">
      <w:start w:val="0"/>
      <w:numFmt w:val="bullet"/>
      <w:lvlText w:val="•"/>
      <w:lvlJc w:val="left"/>
      <w:pPr>
        <w:ind w:left="5200" w:hanging="340"/>
      </w:pPr>
      <w:rPr>
        <w:rFonts w:hint="default"/>
      </w:rPr>
    </w:lvl>
    <w:lvl w:ilvl="6">
      <w:start w:val="0"/>
      <w:numFmt w:val="bullet"/>
      <w:lvlText w:val="•"/>
      <w:lvlJc w:val="left"/>
      <w:pPr>
        <w:ind w:left="6024" w:hanging="340"/>
      </w:pPr>
      <w:rPr>
        <w:rFonts w:hint="default"/>
      </w:rPr>
    </w:lvl>
    <w:lvl w:ilvl="7">
      <w:start w:val="0"/>
      <w:numFmt w:val="bullet"/>
      <w:lvlText w:val="•"/>
      <w:lvlJc w:val="left"/>
      <w:pPr>
        <w:ind w:left="6848" w:hanging="340"/>
      </w:pPr>
      <w:rPr>
        <w:rFonts w:hint="default"/>
      </w:rPr>
    </w:lvl>
    <w:lvl w:ilvl="8">
      <w:start w:val="0"/>
      <w:numFmt w:val="bullet"/>
      <w:lvlText w:val="•"/>
      <w:lvlJc w:val="left"/>
      <w:pPr>
        <w:ind w:left="7672" w:hanging="340"/>
      </w:pPr>
      <w:rPr>
        <w:rFonts w:hint="default"/>
      </w:rPr>
    </w:lvl>
  </w:abstractNum>
  <w:abstractNum w:abstractNumId="3">
    <w:multiLevelType w:val="hybridMultilevel"/>
    <w:lvl w:ilvl="0">
      <w:start w:val="0"/>
      <w:numFmt w:val="bullet"/>
      <w:lvlText w:val="-"/>
      <w:lvlJc w:val="left"/>
      <w:pPr>
        <w:ind w:left="1078" w:hanging="340"/>
      </w:pPr>
      <w:rPr>
        <w:rFonts w:hint="default" w:ascii="Garamond" w:hAnsi="Garamond" w:eastAsia="Garamond" w:cs="Garamond"/>
        <w:b/>
        <w:bCs/>
        <w:w w:val="102"/>
        <w:sz w:val="22"/>
        <w:szCs w:val="22"/>
      </w:rPr>
    </w:lvl>
    <w:lvl w:ilvl="1">
      <w:start w:val="0"/>
      <w:numFmt w:val="bullet"/>
      <w:lvlText w:val="•"/>
      <w:lvlJc w:val="left"/>
      <w:pPr>
        <w:ind w:left="1904" w:hanging="340"/>
      </w:pPr>
      <w:rPr>
        <w:rFonts w:hint="default"/>
      </w:rPr>
    </w:lvl>
    <w:lvl w:ilvl="2">
      <w:start w:val="0"/>
      <w:numFmt w:val="bullet"/>
      <w:lvlText w:val="•"/>
      <w:lvlJc w:val="left"/>
      <w:pPr>
        <w:ind w:left="2728" w:hanging="340"/>
      </w:pPr>
      <w:rPr>
        <w:rFonts w:hint="default"/>
      </w:rPr>
    </w:lvl>
    <w:lvl w:ilvl="3">
      <w:start w:val="0"/>
      <w:numFmt w:val="bullet"/>
      <w:lvlText w:val="•"/>
      <w:lvlJc w:val="left"/>
      <w:pPr>
        <w:ind w:left="3552" w:hanging="340"/>
      </w:pPr>
      <w:rPr>
        <w:rFonts w:hint="default"/>
      </w:rPr>
    </w:lvl>
    <w:lvl w:ilvl="4">
      <w:start w:val="0"/>
      <w:numFmt w:val="bullet"/>
      <w:lvlText w:val="•"/>
      <w:lvlJc w:val="left"/>
      <w:pPr>
        <w:ind w:left="4376" w:hanging="340"/>
      </w:pPr>
      <w:rPr>
        <w:rFonts w:hint="default"/>
      </w:rPr>
    </w:lvl>
    <w:lvl w:ilvl="5">
      <w:start w:val="0"/>
      <w:numFmt w:val="bullet"/>
      <w:lvlText w:val="•"/>
      <w:lvlJc w:val="left"/>
      <w:pPr>
        <w:ind w:left="5200" w:hanging="340"/>
      </w:pPr>
      <w:rPr>
        <w:rFonts w:hint="default"/>
      </w:rPr>
    </w:lvl>
    <w:lvl w:ilvl="6">
      <w:start w:val="0"/>
      <w:numFmt w:val="bullet"/>
      <w:lvlText w:val="•"/>
      <w:lvlJc w:val="left"/>
      <w:pPr>
        <w:ind w:left="6024" w:hanging="340"/>
      </w:pPr>
      <w:rPr>
        <w:rFonts w:hint="default"/>
      </w:rPr>
    </w:lvl>
    <w:lvl w:ilvl="7">
      <w:start w:val="0"/>
      <w:numFmt w:val="bullet"/>
      <w:lvlText w:val="•"/>
      <w:lvlJc w:val="left"/>
      <w:pPr>
        <w:ind w:left="6848" w:hanging="340"/>
      </w:pPr>
      <w:rPr>
        <w:rFonts w:hint="default"/>
      </w:rPr>
    </w:lvl>
    <w:lvl w:ilvl="8">
      <w:start w:val="0"/>
      <w:numFmt w:val="bullet"/>
      <w:lvlText w:val="•"/>
      <w:lvlJc w:val="left"/>
      <w:pPr>
        <w:ind w:left="7672" w:hanging="340"/>
      </w:pPr>
      <w:rPr>
        <w:rFonts w:hint="default"/>
      </w:rPr>
    </w:lvl>
  </w:abstractNum>
  <w:abstractNum w:abstractNumId="37">
    <w:multiLevelType w:val="hybridMultilevel"/>
    <w:lvl w:ilvl="0">
      <w:start w:val="65"/>
      <w:numFmt w:val="decimal"/>
      <w:lvlText w:val="%1."/>
      <w:lvlJc w:val="left"/>
      <w:pPr>
        <w:ind w:left="1078" w:hanging="340"/>
        <w:jc w:val="left"/>
      </w:pPr>
      <w:rPr>
        <w:rFonts w:hint="default" w:ascii="Garamond" w:hAnsi="Garamond" w:eastAsia="Garamond" w:cs="Garamond"/>
        <w:b/>
        <w:bCs/>
        <w:spacing w:val="-1"/>
        <w:w w:val="102"/>
        <w:sz w:val="22"/>
        <w:szCs w:val="22"/>
      </w:rPr>
    </w:lvl>
    <w:lvl w:ilvl="1">
      <w:start w:val="1"/>
      <w:numFmt w:val="upperLetter"/>
      <w:lvlText w:val="(%2)"/>
      <w:lvlJc w:val="left"/>
      <w:pPr>
        <w:ind w:left="1467" w:hanging="400"/>
        <w:jc w:val="left"/>
      </w:pPr>
      <w:rPr>
        <w:rFonts w:hint="default"/>
        <w:b/>
        <w:bCs/>
        <w:spacing w:val="-1"/>
        <w:w w:val="99"/>
      </w:rPr>
    </w:lvl>
    <w:lvl w:ilvl="2">
      <w:start w:val="0"/>
      <w:numFmt w:val="bullet"/>
      <w:lvlText w:val="•"/>
      <w:lvlJc w:val="left"/>
      <w:pPr>
        <w:ind w:left="2333" w:hanging="400"/>
      </w:pPr>
      <w:rPr>
        <w:rFonts w:hint="default"/>
      </w:rPr>
    </w:lvl>
    <w:lvl w:ilvl="3">
      <w:start w:val="0"/>
      <w:numFmt w:val="bullet"/>
      <w:lvlText w:val="•"/>
      <w:lvlJc w:val="left"/>
      <w:pPr>
        <w:ind w:left="3206" w:hanging="400"/>
      </w:pPr>
      <w:rPr>
        <w:rFonts w:hint="default"/>
      </w:rPr>
    </w:lvl>
    <w:lvl w:ilvl="4">
      <w:start w:val="0"/>
      <w:numFmt w:val="bullet"/>
      <w:lvlText w:val="•"/>
      <w:lvlJc w:val="left"/>
      <w:pPr>
        <w:ind w:left="4080" w:hanging="400"/>
      </w:pPr>
      <w:rPr>
        <w:rFonts w:hint="default"/>
      </w:rPr>
    </w:lvl>
    <w:lvl w:ilvl="5">
      <w:start w:val="0"/>
      <w:numFmt w:val="bullet"/>
      <w:lvlText w:val="•"/>
      <w:lvlJc w:val="left"/>
      <w:pPr>
        <w:ind w:left="4953" w:hanging="400"/>
      </w:pPr>
      <w:rPr>
        <w:rFonts w:hint="default"/>
      </w:rPr>
    </w:lvl>
    <w:lvl w:ilvl="6">
      <w:start w:val="0"/>
      <w:numFmt w:val="bullet"/>
      <w:lvlText w:val="•"/>
      <w:lvlJc w:val="left"/>
      <w:pPr>
        <w:ind w:left="5826" w:hanging="400"/>
      </w:pPr>
      <w:rPr>
        <w:rFonts w:hint="default"/>
      </w:rPr>
    </w:lvl>
    <w:lvl w:ilvl="7">
      <w:start w:val="0"/>
      <w:numFmt w:val="bullet"/>
      <w:lvlText w:val="•"/>
      <w:lvlJc w:val="left"/>
      <w:pPr>
        <w:ind w:left="6700" w:hanging="400"/>
      </w:pPr>
      <w:rPr>
        <w:rFonts w:hint="default"/>
      </w:rPr>
    </w:lvl>
    <w:lvl w:ilvl="8">
      <w:start w:val="0"/>
      <w:numFmt w:val="bullet"/>
      <w:lvlText w:val="•"/>
      <w:lvlJc w:val="left"/>
      <w:pPr>
        <w:ind w:left="7573" w:hanging="400"/>
      </w:pPr>
      <w:rPr>
        <w:rFonts w:hint="default"/>
      </w:rPr>
    </w:lvl>
  </w:abstractNum>
  <w:abstractNum w:abstractNumId="36">
    <w:multiLevelType w:val="hybridMultilevel"/>
    <w:lvl w:ilvl="0">
      <w:start w:val="1"/>
      <w:numFmt w:val="lowerLetter"/>
      <w:lvlText w:val="%1."/>
      <w:lvlJc w:val="left"/>
      <w:pPr>
        <w:ind w:left="1078" w:hanging="400"/>
        <w:jc w:val="left"/>
      </w:pPr>
      <w:rPr>
        <w:rFonts w:hint="default" w:ascii="Garamond" w:hAnsi="Garamond" w:eastAsia="Garamond" w:cs="Garamond"/>
        <w:b/>
        <w:bCs/>
        <w:spacing w:val="-1"/>
        <w:w w:val="102"/>
        <w:sz w:val="22"/>
        <w:szCs w:val="22"/>
      </w:rPr>
    </w:lvl>
    <w:lvl w:ilvl="1">
      <w:start w:val="0"/>
      <w:numFmt w:val="bullet"/>
      <w:lvlText w:val=""/>
      <w:lvlJc w:val="left"/>
      <w:pPr>
        <w:ind w:left="1467" w:hanging="400"/>
      </w:pPr>
      <w:rPr>
        <w:rFonts w:hint="default" w:ascii="Symbol" w:hAnsi="Symbol" w:eastAsia="Symbol" w:cs="Symbol"/>
        <w:w w:val="102"/>
        <w:sz w:val="22"/>
        <w:szCs w:val="22"/>
      </w:rPr>
    </w:lvl>
    <w:lvl w:ilvl="2">
      <w:start w:val="0"/>
      <w:numFmt w:val="bullet"/>
      <w:lvlText w:val="•"/>
      <w:lvlJc w:val="left"/>
      <w:pPr>
        <w:ind w:left="2333" w:hanging="400"/>
      </w:pPr>
      <w:rPr>
        <w:rFonts w:hint="default"/>
      </w:rPr>
    </w:lvl>
    <w:lvl w:ilvl="3">
      <w:start w:val="0"/>
      <w:numFmt w:val="bullet"/>
      <w:lvlText w:val="•"/>
      <w:lvlJc w:val="left"/>
      <w:pPr>
        <w:ind w:left="3206" w:hanging="400"/>
      </w:pPr>
      <w:rPr>
        <w:rFonts w:hint="default"/>
      </w:rPr>
    </w:lvl>
    <w:lvl w:ilvl="4">
      <w:start w:val="0"/>
      <w:numFmt w:val="bullet"/>
      <w:lvlText w:val="•"/>
      <w:lvlJc w:val="left"/>
      <w:pPr>
        <w:ind w:left="4080" w:hanging="400"/>
      </w:pPr>
      <w:rPr>
        <w:rFonts w:hint="default"/>
      </w:rPr>
    </w:lvl>
    <w:lvl w:ilvl="5">
      <w:start w:val="0"/>
      <w:numFmt w:val="bullet"/>
      <w:lvlText w:val="•"/>
      <w:lvlJc w:val="left"/>
      <w:pPr>
        <w:ind w:left="4953" w:hanging="400"/>
      </w:pPr>
      <w:rPr>
        <w:rFonts w:hint="default"/>
      </w:rPr>
    </w:lvl>
    <w:lvl w:ilvl="6">
      <w:start w:val="0"/>
      <w:numFmt w:val="bullet"/>
      <w:lvlText w:val="•"/>
      <w:lvlJc w:val="left"/>
      <w:pPr>
        <w:ind w:left="5826" w:hanging="400"/>
      </w:pPr>
      <w:rPr>
        <w:rFonts w:hint="default"/>
      </w:rPr>
    </w:lvl>
    <w:lvl w:ilvl="7">
      <w:start w:val="0"/>
      <w:numFmt w:val="bullet"/>
      <w:lvlText w:val="•"/>
      <w:lvlJc w:val="left"/>
      <w:pPr>
        <w:ind w:left="6700" w:hanging="400"/>
      </w:pPr>
      <w:rPr>
        <w:rFonts w:hint="default"/>
      </w:rPr>
    </w:lvl>
    <w:lvl w:ilvl="8">
      <w:start w:val="0"/>
      <w:numFmt w:val="bullet"/>
      <w:lvlText w:val="•"/>
      <w:lvlJc w:val="left"/>
      <w:pPr>
        <w:ind w:left="7573" w:hanging="400"/>
      </w:pPr>
      <w:rPr>
        <w:rFonts w:hint="default"/>
      </w:rPr>
    </w:lvl>
  </w:abstractNum>
  <w:abstractNum w:abstractNumId="34">
    <w:multiLevelType w:val="hybridMultilevel"/>
    <w:lvl w:ilvl="0">
      <w:start w:val="0"/>
      <w:numFmt w:val="bullet"/>
      <w:lvlText w:val=""/>
      <w:lvlJc w:val="left"/>
      <w:pPr>
        <w:ind w:left="1078" w:hanging="340"/>
      </w:pPr>
      <w:rPr>
        <w:rFonts w:hint="default" w:ascii="Symbol" w:hAnsi="Symbol" w:eastAsia="Symbol" w:cs="Symbol"/>
        <w:w w:val="102"/>
        <w:sz w:val="22"/>
        <w:szCs w:val="22"/>
      </w:rPr>
    </w:lvl>
    <w:lvl w:ilvl="1">
      <w:start w:val="0"/>
      <w:numFmt w:val="bullet"/>
      <w:lvlText w:val="•"/>
      <w:lvlJc w:val="left"/>
      <w:pPr>
        <w:ind w:left="1904" w:hanging="340"/>
      </w:pPr>
      <w:rPr>
        <w:rFonts w:hint="default"/>
      </w:rPr>
    </w:lvl>
    <w:lvl w:ilvl="2">
      <w:start w:val="0"/>
      <w:numFmt w:val="bullet"/>
      <w:lvlText w:val="•"/>
      <w:lvlJc w:val="left"/>
      <w:pPr>
        <w:ind w:left="2728" w:hanging="340"/>
      </w:pPr>
      <w:rPr>
        <w:rFonts w:hint="default"/>
      </w:rPr>
    </w:lvl>
    <w:lvl w:ilvl="3">
      <w:start w:val="0"/>
      <w:numFmt w:val="bullet"/>
      <w:lvlText w:val="•"/>
      <w:lvlJc w:val="left"/>
      <w:pPr>
        <w:ind w:left="3552" w:hanging="340"/>
      </w:pPr>
      <w:rPr>
        <w:rFonts w:hint="default"/>
      </w:rPr>
    </w:lvl>
    <w:lvl w:ilvl="4">
      <w:start w:val="0"/>
      <w:numFmt w:val="bullet"/>
      <w:lvlText w:val="•"/>
      <w:lvlJc w:val="left"/>
      <w:pPr>
        <w:ind w:left="4376" w:hanging="340"/>
      </w:pPr>
      <w:rPr>
        <w:rFonts w:hint="default"/>
      </w:rPr>
    </w:lvl>
    <w:lvl w:ilvl="5">
      <w:start w:val="0"/>
      <w:numFmt w:val="bullet"/>
      <w:lvlText w:val="•"/>
      <w:lvlJc w:val="left"/>
      <w:pPr>
        <w:ind w:left="5200" w:hanging="340"/>
      </w:pPr>
      <w:rPr>
        <w:rFonts w:hint="default"/>
      </w:rPr>
    </w:lvl>
    <w:lvl w:ilvl="6">
      <w:start w:val="0"/>
      <w:numFmt w:val="bullet"/>
      <w:lvlText w:val="•"/>
      <w:lvlJc w:val="left"/>
      <w:pPr>
        <w:ind w:left="6024" w:hanging="340"/>
      </w:pPr>
      <w:rPr>
        <w:rFonts w:hint="default"/>
      </w:rPr>
    </w:lvl>
    <w:lvl w:ilvl="7">
      <w:start w:val="0"/>
      <w:numFmt w:val="bullet"/>
      <w:lvlText w:val="•"/>
      <w:lvlJc w:val="left"/>
      <w:pPr>
        <w:ind w:left="6848" w:hanging="340"/>
      </w:pPr>
      <w:rPr>
        <w:rFonts w:hint="default"/>
      </w:rPr>
    </w:lvl>
    <w:lvl w:ilvl="8">
      <w:start w:val="0"/>
      <w:numFmt w:val="bullet"/>
      <w:lvlText w:val="•"/>
      <w:lvlJc w:val="left"/>
      <w:pPr>
        <w:ind w:left="7672" w:hanging="340"/>
      </w:pPr>
      <w:rPr>
        <w:rFonts w:hint="default"/>
      </w:rPr>
    </w:lvl>
  </w:abstractNum>
  <w:abstractNum w:abstractNumId="33">
    <w:multiLevelType w:val="hybridMultilevel"/>
    <w:lvl w:ilvl="0">
      <w:start w:val="0"/>
      <w:numFmt w:val="bullet"/>
      <w:lvlText w:val=""/>
      <w:lvlJc w:val="left"/>
      <w:pPr>
        <w:ind w:left="1078" w:hanging="340"/>
      </w:pPr>
      <w:rPr>
        <w:rFonts w:hint="default" w:ascii="Symbol" w:hAnsi="Symbol" w:eastAsia="Symbol" w:cs="Symbol"/>
        <w:w w:val="102"/>
        <w:sz w:val="22"/>
        <w:szCs w:val="22"/>
      </w:rPr>
    </w:lvl>
    <w:lvl w:ilvl="1">
      <w:start w:val="0"/>
      <w:numFmt w:val="bullet"/>
      <w:lvlText w:val="•"/>
      <w:lvlJc w:val="left"/>
      <w:pPr>
        <w:ind w:left="1904" w:hanging="340"/>
      </w:pPr>
      <w:rPr>
        <w:rFonts w:hint="default"/>
      </w:rPr>
    </w:lvl>
    <w:lvl w:ilvl="2">
      <w:start w:val="0"/>
      <w:numFmt w:val="bullet"/>
      <w:lvlText w:val="•"/>
      <w:lvlJc w:val="left"/>
      <w:pPr>
        <w:ind w:left="2728" w:hanging="340"/>
      </w:pPr>
      <w:rPr>
        <w:rFonts w:hint="default"/>
      </w:rPr>
    </w:lvl>
    <w:lvl w:ilvl="3">
      <w:start w:val="0"/>
      <w:numFmt w:val="bullet"/>
      <w:lvlText w:val="•"/>
      <w:lvlJc w:val="left"/>
      <w:pPr>
        <w:ind w:left="3552" w:hanging="340"/>
      </w:pPr>
      <w:rPr>
        <w:rFonts w:hint="default"/>
      </w:rPr>
    </w:lvl>
    <w:lvl w:ilvl="4">
      <w:start w:val="0"/>
      <w:numFmt w:val="bullet"/>
      <w:lvlText w:val="•"/>
      <w:lvlJc w:val="left"/>
      <w:pPr>
        <w:ind w:left="4376" w:hanging="340"/>
      </w:pPr>
      <w:rPr>
        <w:rFonts w:hint="default"/>
      </w:rPr>
    </w:lvl>
    <w:lvl w:ilvl="5">
      <w:start w:val="0"/>
      <w:numFmt w:val="bullet"/>
      <w:lvlText w:val="•"/>
      <w:lvlJc w:val="left"/>
      <w:pPr>
        <w:ind w:left="5200" w:hanging="340"/>
      </w:pPr>
      <w:rPr>
        <w:rFonts w:hint="default"/>
      </w:rPr>
    </w:lvl>
    <w:lvl w:ilvl="6">
      <w:start w:val="0"/>
      <w:numFmt w:val="bullet"/>
      <w:lvlText w:val="•"/>
      <w:lvlJc w:val="left"/>
      <w:pPr>
        <w:ind w:left="6024" w:hanging="340"/>
      </w:pPr>
      <w:rPr>
        <w:rFonts w:hint="default"/>
      </w:rPr>
    </w:lvl>
    <w:lvl w:ilvl="7">
      <w:start w:val="0"/>
      <w:numFmt w:val="bullet"/>
      <w:lvlText w:val="•"/>
      <w:lvlJc w:val="left"/>
      <w:pPr>
        <w:ind w:left="6848" w:hanging="340"/>
      </w:pPr>
      <w:rPr>
        <w:rFonts w:hint="default"/>
      </w:rPr>
    </w:lvl>
    <w:lvl w:ilvl="8">
      <w:start w:val="0"/>
      <w:numFmt w:val="bullet"/>
      <w:lvlText w:val="•"/>
      <w:lvlJc w:val="left"/>
      <w:pPr>
        <w:ind w:left="7672" w:hanging="340"/>
      </w:pPr>
      <w:rPr>
        <w:rFonts w:hint="default"/>
      </w:rPr>
    </w:lvl>
  </w:abstractNum>
  <w:abstractNum w:abstractNumId="32">
    <w:multiLevelType w:val="hybridMultilevel"/>
    <w:lvl w:ilvl="0">
      <w:start w:val="1"/>
      <w:numFmt w:val="lowerLetter"/>
      <w:lvlText w:val="%1."/>
      <w:lvlJc w:val="left"/>
      <w:pPr>
        <w:ind w:left="1078" w:hanging="400"/>
        <w:jc w:val="left"/>
      </w:pPr>
      <w:rPr>
        <w:rFonts w:hint="default" w:ascii="Garamond" w:hAnsi="Garamond" w:eastAsia="Garamond" w:cs="Garamond"/>
        <w:b/>
        <w:bCs/>
        <w:w w:val="102"/>
        <w:sz w:val="22"/>
        <w:szCs w:val="22"/>
      </w:rPr>
    </w:lvl>
    <w:lvl w:ilvl="1">
      <w:start w:val="0"/>
      <w:numFmt w:val="bullet"/>
      <w:lvlText w:val=""/>
      <w:lvlJc w:val="left"/>
      <w:pPr>
        <w:ind w:left="1467" w:hanging="400"/>
      </w:pPr>
      <w:rPr>
        <w:rFonts w:hint="default" w:ascii="Symbol" w:hAnsi="Symbol" w:eastAsia="Symbol" w:cs="Symbol"/>
        <w:w w:val="102"/>
        <w:sz w:val="22"/>
        <w:szCs w:val="22"/>
      </w:rPr>
    </w:lvl>
    <w:lvl w:ilvl="2">
      <w:start w:val="0"/>
      <w:numFmt w:val="bullet"/>
      <w:lvlText w:val="•"/>
      <w:lvlJc w:val="left"/>
      <w:pPr>
        <w:ind w:left="2333" w:hanging="400"/>
      </w:pPr>
      <w:rPr>
        <w:rFonts w:hint="default"/>
      </w:rPr>
    </w:lvl>
    <w:lvl w:ilvl="3">
      <w:start w:val="0"/>
      <w:numFmt w:val="bullet"/>
      <w:lvlText w:val="•"/>
      <w:lvlJc w:val="left"/>
      <w:pPr>
        <w:ind w:left="3206" w:hanging="400"/>
      </w:pPr>
      <w:rPr>
        <w:rFonts w:hint="default"/>
      </w:rPr>
    </w:lvl>
    <w:lvl w:ilvl="4">
      <w:start w:val="0"/>
      <w:numFmt w:val="bullet"/>
      <w:lvlText w:val="•"/>
      <w:lvlJc w:val="left"/>
      <w:pPr>
        <w:ind w:left="4080" w:hanging="400"/>
      </w:pPr>
      <w:rPr>
        <w:rFonts w:hint="default"/>
      </w:rPr>
    </w:lvl>
    <w:lvl w:ilvl="5">
      <w:start w:val="0"/>
      <w:numFmt w:val="bullet"/>
      <w:lvlText w:val="•"/>
      <w:lvlJc w:val="left"/>
      <w:pPr>
        <w:ind w:left="4953" w:hanging="400"/>
      </w:pPr>
      <w:rPr>
        <w:rFonts w:hint="default"/>
      </w:rPr>
    </w:lvl>
    <w:lvl w:ilvl="6">
      <w:start w:val="0"/>
      <w:numFmt w:val="bullet"/>
      <w:lvlText w:val="•"/>
      <w:lvlJc w:val="left"/>
      <w:pPr>
        <w:ind w:left="5826" w:hanging="400"/>
      </w:pPr>
      <w:rPr>
        <w:rFonts w:hint="default"/>
      </w:rPr>
    </w:lvl>
    <w:lvl w:ilvl="7">
      <w:start w:val="0"/>
      <w:numFmt w:val="bullet"/>
      <w:lvlText w:val="•"/>
      <w:lvlJc w:val="left"/>
      <w:pPr>
        <w:ind w:left="6700" w:hanging="400"/>
      </w:pPr>
      <w:rPr>
        <w:rFonts w:hint="default"/>
      </w:rPr>
    </w:lvl>
    <w:lvl w:ilvl="8">
      <w:start w:val="0"/>
      <w:numFmt w:val="bullet"/>
      <w:lvlText w:val="•"/>
      <w:lvlJc w:val="left"/>
      <w:pPr>
        <w:ind w:left="7573" w:hanging="400"/>
      </w:pPr>
      <w:rPr>
        <w:rFonts w:hint="default"/>
      </w:rPr>
    </w:lvl>
  </w:abstractNum>
  <w:abstractNum w:abstractNumId="31">
    <w:multiLevelType w:val="hybridMultilevel"/>
    <w:lvl w:ilvl="0">
      <w:start w:val="0"/>
      <w:numFmt w:val="bullet"/>
      <w:lvlText w:val=""/>
      <w:lvlJc w:val="left"/>
      <w:pPr>
        <w:ind w:left="1142" w:hanging="339"/>
      </w:pPr>
      <w:rPr>
        <w:rFonts w:hint="default" w:ascii="Symbol" w:hAnsi="Symbol" w:eastAsia="Symbol" w:cs="Symbol"/>
        <w:w w:val="102"/>
        <w:sz w:val="22"/>
        <w:szCs w:val="22"/>
      </w:rPr>
    </w:lvl>
    <w:lvl w:ilvl="1">
      <w:start w:val="0"/>
      <w:numFmt w:val="bullet"/>
      <w:lvlText w:val="•"/>
      <w:lvlJc w:val="left"/>
      <w:pPr>
        <w:ind w:left="1958" w:hanging="339"/>
      </w:pPr>
      <w:rPr>
        <w:rFonts w:hint="default"/>
      </w:rPr>
    </w:lvl>
    <w:lvl w:ilvl="2">
      <w:start w:val="0"/>
      <w:numFmt w:val="bullet"/>
      <w:lvlText w:val="•"/>
      <w:lvlJc w:val="left"/>
      <w:pPr>
        <w:ind w:left="2776" w:hanging="339"/>
      </w:pPr>
      <w:rPr>
        <w:rFonts w:hint="default"/>
      </w:rPr>
    </w:lvl>
    <w:lvl w:ilvl="3">
      <w:start w:val="0"/>
      <w:numFmt w:val="bullet"/>
      <w:lvlText w:val="•"/>
      <w:lvlJc w:val="left"/>
      <w:pPr>
        <w:ind w:left="3594" w:hanging="339"/>
      </w:pPr>
      <w:rPr>
        <w:rFonts w:hint="default"/>
      </w:rPr>
    </w:lvl>
    <w:lvl w:ilvl="4">
      <w:start w:val="0"/>
      <w:numFmt w:val="bullet"/>
      <w:lvlText w:val="•"/>
      <w:lvlJc w:val="left"/>
      <w:pPr>
        <w:ind w:left="4412" w:hanging="339"/>
      </w:pPr>
      <w:rPr>
        <w:rFonts w:hint="default"/>
      </w:rPr>
    </w:lvl>
    <w:lvl w:ilvl="5">
      <w:start w:val="0"/>
      <w:numFmt w:val="bullet"/>
      <w:lvlText w:val="•"/>
      <w:lvlJc w:val="left"/>
      <w:pPr>
        <w:ind w:left="5230" w:hanging="339"/>
      </w:pPr>
      <w:rPr>
        <w:rFonts w:hint="default"/>
      </w:rPr>
    </w:lvl>
    <w:lvl w:ilvl="6">
      <w:start w:val="0"/>
      <w:numFmt w:val="bullet"/>
      <w:lvlText w:val="•"/>
      <w:lvlJc w:val="left"/>
      <w:pPr>
        <w:ind w:left="6048" w:hanging="339"/>
      </w:pPr>
      <w:rPr>
        <w:rFonts w:hint="default"/>
      </w:rPr>
    </w:lvl>
    <w:lvl w:ilvl="7">
      <w:start w:val="0"/>
      <w:numFmt w:val="bullet"/>
      <w:lvlText w:val="•"/>
      <w:lvlJc w:val="left"/>
      <w:pPr>
        <w:ind w:left="6866" w:hanging="339"/>
      </w:pPr>
      <w:rPr>
        <w:rFonts w:hint="default"/>
      </w:rPr>
    </w:lvl>
    <w:lvl w:ilvl="8">
      <w:start w:val="0"/>
      <w:numFmt w:val="bullet"/>
      <w:lvlText w:val="•"/>
      <w:lvlJc w:val="left"/>
      <w:pPr>
        <w:ind w:left="7684" w:hanging="339"/>
      </w:pPr>
      <w:rPr>
        <w:rFonts w:hint="default"/>
      </w:rPr>
    </w:lvl>
  </w:abstractNum>
  <w:abstractNum w:abstractNumId="30">
    <w:multiLevelType w:val="hybridMultilevel"/>
    <w:lvl w:ilvl="0">
      <w:start w:val="1"/>
      <w:numFmt w:val="lowerRoman"/>
      <w:lvlText w:val="(%1)"/>
      <w:lvlJc w:val="left"/>
      <w:pPr>
        <w:ind w:left="1200" w:hanging="533"/>
        <w:jc w:val="left"/>
      </w:pPr>
      <w:rPr>
        <w:rFonts w:hint="default" w:ascii="Garamond" w:hAnsi="Garamond" w:eastAsia="Garamond" w:cs="Garamond"/>
        <w:b/>
        <w:bCs/>
        <w:i/>
        <w:w w:val="94"/>
        <w:sz w:val="24"/>
        <w:szCs w:val="24"/>
      </w:rPr>
    </w:lvl>
    <w:lvl w:ilvl="1">
      <w:start w:val="0"/>
      <w:numFmt w:val="bullet"/>
      <w:lvlText w:val="•"/>
      <w:lvlJc w:val="left"/>
      <w:pPr>
        <w:ind w:left="2012" w:hanging="533"/>
      </w:pPr>
      <w:rPr>
        <w:rFonts w:hint="default"/>
      </w:rPr>
    </w:lvl>
    <w:lvl w:ilvl="2">
      <w:start w:val="0"/>
      <w:numFmt w:val="bullet"/>
      <w:lvlText w:val="•"/>
      <w:lvlJc w:val="left"/>
      <w:pPr>
        <w:ind w:left="2824" w:hanging="533"/>
      </w:pPr>
      <w:rPr>
        <w:rFonts w:hint="default"/>
      </w:rPr>
    </w:lvl>
    <w:lvl w:ilvl="3">
      <w:start w:val="0"/>
      <w:numFmt w:val="bullet"/>
      <w:lvlText w:val="•"/>
      <w:lvlJc w:val="left"/>
      <w:pPr>
        <w:ind w:left="3636" w:hanging="533"/>
      </w:pPr>
      <w:rPr>
        <w:rFonts w:hint="default"/>
      </w:rPr>
    </w:lvl>
    <w:lvl w:ilvl="4">
      <w:start w:val="0"/>
      <w:numFmt w:val="bullet"/>
      <w:lvlText w:val="•"/>
      <w:lvlJc w:val="left"/>
      <w:pPr>
        <w:ind w:left="4448" w:hanging="533"/>
      </w:pPr>
      <w:rPr>
        <w:rFonts w:hint="default"/>
      </w:rPr>
    </w:lvl>
    <w:lvl w:ilvl="5">
      <w:start w:val="0"/>
      <w:numFmt w:val="bullet"/>
      <w:lvlText w:val="•"/>
      <w:lvlJc w:val="left"/>
      <w:pPr>
        <w:ind w:left="5260" w:hanging="533"/>
      </w:pPr>
      <w:rPr>
        <w:rFonts w:hint="default"/>
      </w:rPr>
    </w:lvl>
    <w:lvl w:ilvl="6">
      <w:start w:val="0"/>
      <w:numFmt w:val="bullet"/>
      <w:lvlText w:val="•"/>
      <w:lvlJc w:val="left"/>
      <w:pPr>
        <w:ind w:left="6072" w:hanging="533"/>
      </w:pPr>
      <w:rPr>
        <w:rFonts w:hint="default"/>
      </w:rPr>
    </w:lvl>
    <w:lvl w:ilvl="7">
      <w:start w:val="0"/>
      <w:numFmt w:val="bullet"/>
      <w:lvlText w:val="•"/>
      <w:lvlJc w:val="left"/>
      <w:pPr>
        <w:ind w:left="6884" w:hanging="533"/>
      </w:pPr>
      <w:rPr>
        <w:rFonts w:hint="default"/>
      </w:rPr>
    </w:lvl>
    <w:lvl w:ilvl="8">
      <w:start w:val="0"/>
      <w:numFmt w:val="bullet"/>
      <w:lvlText w:val="•"/>
      <w:lvlJc w:val="left"/>
      <w:pPr>
        <w:ind w:left="7696" w:hanging="533"/>
      </w:pPr>
      <w:rPr>
        <w:rFonts w:hint="default"/>
      </w:rPr>
    </w:lvl>
  </w:abstractNum>
  <w:abstractNum w:abstractNumId="29">
    <w:multiLevelType w:val="hybridMultilevel"/>
    <w:lvl w:ilvl="0">
      <w:start w:val="1"/>
      <w:numFmt w:val="lowerLetter"/>
      <w:lvlText w:val="%1."/>
      <w:lvlJc w:val="left"/>
      <w:pPr>
        <w:ind w:left="1078" w:hanging="400"/>
        <w:jc w:val="left"/>
      </w:pPr>
      <w:rPr>
        <w:rFonts w:hint="default" w:ascii="Garamond" w:hAnsi="Garamond" w:eastAsia="Garamond" w:cs="Garamond"/>
        <w:b/>
        <w:bCs/>
        <w:spacing w:val="-1"/>
        <w:w w:val="102"/>
        <w:sz w:val="22"/>
        <w:szCs w:val="22"/>
      </w:rPr>
    </w:lvl>
    <w:lvl w:ilvl="1">
      <w:start w:val="0"/>
      <w:numFmt w:val="bullet"/>
      <w:lvlText w:val=""/>
      <w:lvlJc w:val="left"/>
      <w:pPr>
        <w:ind w:left="1467" w:hanging="400"/>
      </w:pPr>
      <w:rPr>
        <w:rFonts w:hint="default" w:ascii="Symbol" w:hAnsi="Symbol" w:eastAsia="Symbol" w:cs="Symbol"/>
        <w:w w:val="102"/>
        <w:sz w:val="22"/>
        <w:szCs w:val="22"/>
      </w:rPr>
    </w:lvl>
    <w:lvl w:ilvl="2">
      <w:start w:val="0"/>
      <w:numFmt w:val="bullet"/>
      <w:lvlText w:val="•"/>
      <w:lvlJc w:val="left"/>
      <w:pPr>
        <w:ind w:left="2333" w:hanging="400"/>
      </w:pPr>
      <w:rPr>
        <w:rFonts w:hint="default"/>
      </w:rPr>
    </w:lvl>
    <w:lvl w:ilvl="3">
      <w:start w:val="0"/>
      <w:numFmt w:val="bullet"/>
      <w:lvlText w:val="•"/>
      <w:lvlJc w:val="left"/>
      <w:pPr>
        <w:ind w:left="3206" w:hanging="400"/>
      </w:pPr>
      <w:rPr>
        <w:rFonts w:hint="default"/>
      </w:rPr>
    </w:lvl>
    <w:lvl w:ilvl="4">
      <w:start w:val="0"/>
      <w:numFmt w:val="bullet"/>
      <w:lvlText w:val="•"/>
      <w:lvlJc w:val="left"/>
      <w:pPr>
        <w:ind w:left="4080" w:hanging="400"/>
      </w:pPr>
      <w:rPr>
        <w:rFonts w:hint="default"/>
      </w:rPr>
    </w:lvl>
    <w:lvl w:ilvl="5">
      <w:start w:val="0"/>
      <w:numFmt w:val="bullet"/>
      <w:lvlText w:val="•"/>
      <w:lvlJc w:val="left"/>
      <w:pPr>
        <w:ind w:left="4953" w:hanging="400"/>
      </w:pPr>
      <w:rPr>
        <w:rFonts w:hint="default"/>
      </w:rPr>
    </w:lvl>
    <w:lvl w:ilvl="6">
      <w:start w:val="0"/>
      <w:numFmt w:val="bullet"/>
      <w:lvlText w:val="•"/>
      <w:lvlJc w:val="left"/>
      <w:pPr>
        <w:ind w:left="5826" w:hanging="400"/>
      </w:pPr>
      <w:rPr>
        <w:rFonts w:hint="default"/>
      </w:rPr>
    </w:lvl>
    <w:lvl w:ilvl="7">
      <w:start w:val="0"/>
      <w:numFmt w:val="bullet"/>
      <w:lvlText w:val="•"/>
      <w:lvlJc w:val="left"/>
      <w:pPr>
        <w:ind w:left="6700" w:hanging="400"/>
      </w:pPr>
      <w:rPr>
        <w:rFonts w:hint="default"/>
      </w:rPr>
    </w:lvl>
    <w:lvl w:ilvl="8">
      <w:start w:val="0"/>
      <w:numFmt w:val="bullet"/>
      <w:lvlText w:val="•"/>
      <w:lvlJc w:val="left"/>
      <w:pPr>
        <w:ind w:left="7573" w:hanging="400"/>
      </w:pPr>
      <w:rPr>
        <w:rFonts w:hint="default"/>
      </w:rPr>
    </w:lvl>
  </w:abstractNum>
  <w:abstractNum w:abstractNumId="27">
    <w:multiLevelType w:val="hybridMultilevel"/>
    <w:lvl w:ilvl="0">
      <w:start w:val="0"/>
      <w:numFmt w:val="bullet"/>
      <w:lvlText w:val=""/>
      <w:lvlJc w:val="left"/>
      <w:pPr>
        <w:ind w:left="1467" w:hanging="400"/>
      </w:pPr>
      <w:rPr>
        <w:rFonts w:hint="default" w:ascii="Symbol" w:hAnsi="Symbol" w:eastAsia="Symbol" w:cs="Symbol"/>
        <w:w w:val="102"/>
        <w:sz w:val="22"/>
        <w:szCs w:val="22"/>
      </w:rPr>
    </w:lvl>
    <w:lvl w:ilvl="1">
      <w:start w:val="0"/>
      <w:numFmt w:val="bullet"/>
      <w:lvlText w:val="•"/>
      <w:lvlJc w:val="left"/>
      <w:pPr>
        <w:ind w:left="2246" w:hanging="400"/>
      </w:pPr>
      <w:rPr>
        <w:rFonts w:hint="default"/>
      </w:rPr>
    </w:lvl>
    <w:lvl w:ilvl="2">
      <w:start w:val="0"/>
      <w:numFmt w:val="bullet"/>
      <w:lvlText w:val="•"/>
      <w:lvlJc w:val="left"/>
      <w:pPr>
        <w:ind w:left="3032" w:hanging="400"/>
      </w:pPr>
      <w:rPr>
        <w:rFonts w:hint="default"/>
      </w:rPr>
    </w:lvl>
    <w:lvl w:ilvl="3">
      <w:start w:val="0"/>
      <w:numFmt w:val="bullet"/>
      <w:lvlText w:val="•"/>
      <w:lvlJc w:val="left"/>
      <w:pPr>
        <w:ind w:left="3818" w:hanging="400"/>
      </w:pPr>
      <w:rPr>
        <w:rFonts w:hint="default"/>
      </w:rPr>
    </w:lvl>
    <w:lvl w:ilvl="4">
      <w:start w:val="0"/>
      <w:numFmt w:val="bullet"/>
      <w:lvlText w:val="•"/>
      <w:lvlJc w:val="left"/>
      <w:pPr>
        <w:ind w:left="4604" w:hanging="400"/>
      </w:pPr>
      <w:rPr>
        <w:rFonts w:hint="default"/>
      </w:rPr>
    </w:lvl>
    <w:lvl w:ilvl="5">
      <w:start w:val="0"/>
      <w:numFmt w:val="bullet"/>
      <w:lvlText w:val="•"/>
      <w:lvlJc w:val="left"/>
      <w:pPr>
        <w:ind w:left="5390" w:hanging="400"/>
      </w:pPr>
      <w:rPr>
        <w:rFonts w:hint="default"/>
      </w:rPr>
    </w:lvl>
    <w:lvl w:ilvl="6">
      <w:start w:val="0"/>
      <w:numFmt w:val="bullet"/>
      <w:lvlText w:val="•"/>
      <w:lvlJc w:val="left"/>
      <w:pPr>
        <w:ind w:left="6176" w:hanging="400"/>
      </w:pPr>
      <w:rPr>
        <w:rFonts w:hint="default"/>
      </w:rPr>
    </w:lvl>
    <w:lvl w:ilvl="7">
      <w:start w:val="0"/>
      <w:numFmt w:val="bullet"/>
      <w:lvlText w:val="•"/>
      <w:lvlJc w:val="left"/>
      <w:pPr>
        <w:ind w:left="6962" w:hanging="400"/>
      </w:pPr>
      <w:rPr>
        <w:rFonts w:hint="default"/>
      </w:rPr>
    </w:lvl>
    <w:lvl w:ilvl="8">
      <w:start w:val="0"/>
      <w:numFmt w:val="bullet"/>
      <w:lvlText w:val="•"/>
      <w:lvlJc w:val="left"/>
      <w:pPr>
        <w:ind w:left="7748" w:hanging="400"/>
      </w:pPr>
      <w:rPr>
        <w:rFonts w:hint="default"/>
      </w:rPr>
    </w:lvl>
  </w:abstractNum>
  <w:abstractNum w:abstractNumId="26">
    <w:multiLevelType w:val="hybridMultilevel"/>
    <w:lvl w:ilvl="0">
      <w:start w:val="1"/>
      <w:numFmt w:val="lowerRoman"/>
      <w:lvlText w:val="(%1)"/>
      <w:lvlJc w:val="left"/>
      <w:pPr>
        <w:ind w:left="1200" w:hanging="756"/>
        <w:jc w:val="right"/>
      </w:pPr>
      <w:rPr>
        <w:rFonts w:hint="default" w:ascii="Garamond" w:hAnsi="Garamond" w:eastAsia="Garamond" w:cs="Garamond"/>
        <w:b/>
        <w:bCs/>
        <w:i/>
        <w:spacing w:val="-2"/>
        <w:w w:val="94"/>
        <w:sz w:val="24"/>
        <w:szCs w:val="24"/>
      </w:rPr>
    </w:lvl>
    <w:lvl w:ilvl="1">
      <w:start w:val="0"/>
      <w:numFmt w:val="bullet"/>
      <w:lvlText w:val="•"/>
      <w:lvlJc w:val="left"/>
      <w:pPr>
        <w:ind w:left="2012" w:hanging="756"/>
      </w:pPr>
      <w:rPr>
        <w:rFonts w:hint="default"/>
      </w:rPr>
    </w:lvl>
    <w:lvl w:ilvl="2">
      <w:start w:val="0"/>
      <w:numFmt w:val="bullet"/>
      <w:lvlText w:val="•"/>
      <w:lvlJc w:val="left"/>
      <w:pPr>
        <w:ind w:left="2824" w:hanging="756"/>
      </w:pPr>
      <w:rPr>
        <w:rFonts w:hint="default"/>
      </w:rPr>
    </w:lvl>
    <w:lvl w:ilvl="3">
      <w:start w:val="0"/>
      <w:numFmt w:val="bullet"/>
      <w:lvlText w:val="•"/>
      <w:lvlJc w:val="left"/>
      <w:pPr>
        <w:ind w:left="3636" w:hanging="756"/>
      </w:pPr>
      <w:rPr>
        <w:rFonts w:hint="default"/>
      </w:rPr>
    </w:lvl>
    <w:lvl w:ilvl="4">
      <w:start w:val="0"/>
      <w:numFmt w:val="bullet"/>
      <w:lvlText w:val="•"/>
      <w:lvlJc w:val="left"/>
      <w:pPr>
        <w:ind w:left="4448" w:hanging="756"/>
      </w:pPr>
      <w:rPr>
        <w:rFonts w:hint="default"/>
      </w:rPr>
    </w:lvl>
    <w:lvl w:ilvl="5">
      <w:start w:val="0"/>
      <w:numFmt w:val="bullet"/>
      <w:lvlText w:val="•"/>
      <w:lvlJc w:val="left"/>
      <w:pPr>
        <w:ind w:left="5260" w:hanging="756"/>
      </w:pPr>
      <w:rPr>
        <w:rFonts w:hint="default"/>
      </w:rPr>
    </w:lvl>
    <w:lvl w:ilvl="6">
      <w:start w:val="0"/>
      <w:numFmt w:val="bullet"/>
      <w:lvlText w:val="•"/>
      <w:lvlJc w:val="left"/>
      <w:pPr>
        <w:ind w:left="6072" w:hanging="756"/>
      </w:pPr>
      <w:rPr>
        <w:rFonts w:hint="default"/>
      </w:rPr>
    </w:lvl>
    <w:lvl w:ilvl="7">
      <w:start w:val="0"/>
      <w:numFmt w:val="bullet"/>
      <w:lvlText w:val="•"/>
      <w:lvlJc w:val="left"/>
      <w:pPr>
        <w:ind w:left="6884" w:hanging="756"/>
      </w:pPr>
      <w:rPr>
        <w:rFonts w:hint="default"/>
      </w:rPr>
    </w:lvl>
    <w:lvl w:ilvl="8">
      <w:start w:val="0"/>
      <w:numFmt w:val="bullet"/>
      <w:lvlText w:val="•"/>
      <w:lvlJc w:val="left"/>
      <w:pPr>
        <w:ind w:left="7696" w:hanging="756"/>
      </w:pPr>
      <w:rPr>
        <w:rFonts w:hint="default"/>
      </w:rPr>
    </w:lvl>
  </w:abstractNum>
  <w:abstractNum w:abstractNumId="25">
    <w:multiLevelType w:val="hybridMultilevel"/>
    <w:lvl w:ilvl="0">
      <w:start w:val="1"/>
      <w:numFmt w:val="decimal"/>
      <w:lvlText w:val="%1."/>
      <w:lvlJc w:val="left"/>
      <w:pPr>
        <w:ind w:left="1078" w:hanging="340"/>
        <w:jc w:val="left"/>
      </w:pPr>
      <w:rPr>
        <w:rFonts w:hint="default" w:ascii="Garamond" w:hAnsi="Garamond" w:eastAsia="Garamond" w:cs="Garamond"/>
        <w:spacing w:val="0"/>
        <w:w w:val="102"/>
        <w:sz w:val="22"/>
        <w:szCs w:val="22"/>
      </w:rPr>
    </w:lvl>
    <w:lvl w:ilvl="1">
      <w:start w:val="0"/>
      <w:numFmt w:val="bullet"/>
      <w:lvlText w:val="•"/>
      <w:lvlJc w:val="left"/>
      <w:pPr>
        <w:ind w:left="1904" w:hanging="340"/>
      </w:pPr>
      <w:rPr>
        <w:rFonts w:hint="default"/>
      </w:rPr>
    </w:lvl>
    <w:lvl w:ilvl="2">
      <w:start w:val="0"/>
      <w:numFmt w:val="bullet"/>
      <w:lvlText w:val="•"/>
      <w:lvlJc w:val="left"/>
      <w:pPr>
        <w:ind w:left="2728" w:hanging="340"/>
      </w:pPr>
      <w:rPr>
        <w:rFonts w:hint="default"/>
      </w:rPr>
    </w:lvl>
    <w:lvl w:ilvl="3">
      <w:start w:val="0"/>
      <w:numFmt w:val="bullet"/>
      <w:lvlText w:val="•"/>
      <w:lvlJc w:val="left"/>
      <w:pPr>
        <w:ind w:left="3552" w:hanging="340"/>
      </w:pPr>
      <w:rPr>
        <w:rFonts w:hint="default"/>
      </w:rPr>
    </w:lvl>
    <w:lvl w:ilvl="4">
      <w:start w:val="0"/>
      <w:numFmt w:val="bullet"/>
      <w:lvlText w:val="•"/>
      <w:lvlJc w:val="left"/>
      <w:pPr>
        <w:ind w:left="4376" w:hanging="340"/>
      </w:pPr>
      <w:rPr>
        <w:rFonts w:hint="default"/>
      </w:rPr>
    </w:lvl>
    <w:lvl w:ilvl="5">
      <w:start w:val="0"/>
      <w:numFmt w:val="bullet"/>
      <w:lvlText w:val="•"/>
      <w:lvlJc w:val="left"/>
      <w:pPr>
        <w:ind w:left="5200" w:hanging="340"/>
      </w:pPr>
      <w:rPr>
        <w:rFonts w:hint="default"/>
      </w:rPr>
    </w:lvl>
    <w:lvl w:ilvl="6">
      <w:start w:val="0"/>
      <w:numFmt w:val="bullet"/>
      <w:lvlText w:val="•"/>
      <w:lvlJc w:val="left"/>
      <w:pPr>
        <w:ind w:left="6024" w:hanging="340"/>
      </w:pPr>
      <w:rPr>
        <w:rFonts w:hint="default"/>
      </w:rPr>
    </w:lvl>
    <w:lvl w:ilvl="7">
      <w:start w:val="0"/>
      <w:numFmt w:val="bullet"/>
      <w:lvlText w:val="•"/>
      <w:lvlJc w:val="left"/>
      <w:pPr>
        <w:ind w:left="6848" w:hanging="340"/>
      </w:pPr>
      <w:rPr>
        <w:rFonts w:hint="default"/>
      </w:rPr>
    </w:lvl>
    <w:lvl w:ilvl="8">
      <w:start w:val="0"/>
      <w:numFmt w:val="bullet"/>
      <w:lvlText w:val="•"/>
      <w:lvlJc w:val="left"/>
      <w:pPr>
        <w:ind w:left="7672" w:hanging="340"/>
      </w:pPr>
      <w:rPr>
        <w:rFonts w:hint="default"/>
      </w:rPr>
    </w:lvl>
  </w:abstractNum>
  <w:abstractNum w:abstractNumId="24">
    <w:multiLevelType w:val="hybridMultilevel"/>
    <w:lvl w:ilvl="0">
      <w:start w:val="1"/>
      <w:numFmt w:val="decimal"/>
      <w:lvlText w:val="%1."/>
      <w:lvlJc w:val="left"/>
      <w:pPr>
        <w:ind w:left="1334" w:hanging="400"/>
        <w:jc w:val="left"/>
      </w:pPr>
      <w:rPr>
        <w:rFonts w:hint="default" w:ascii="Garamond" w:hAnsi="Garamond" w:eastAsia="Garamond" w:cs="Garamond"/>
        <w:spacing w:val="0"/>
        <w:w w:val="102"/>
        <w:sz w:val="22"/>
        <w:szCs w:val="22"/>
      </w:rPr>
    </w:lvl>
    <w:lvl w:ilvl="1">
      <w:start w:val="1"/>
      <w:numFmt w:val="lowerLetter"/>
      <w:lvlText w:val="%2."/>
      <w:lvlJc w:val="left"/>
      <w:pPr>
        <w:ind w:left="2001" w:hanging="668"/>
        <w:jc w:val="left"/>
      </w:pPr>
      <w:rPr>
        <w:rFonts w:hint="default" w:ascii="Garamond" w:hAnsi="Garamond" w:eastAsia="Garamond" w:cs="Garamond"/>
        <w:spacing w:val="-1"/>
        <w:w w:val="102"/>
        <w:sz w:val="22"/>
        <w:szCs w:val="22"/>
      </w:rPr>
    </w:lvl>
    <w:lvl w:ilvl="2">
      <w:start w:val="0"/>
      <w:numFmt w:val="bullet"/>
      <w:lvlText w:val="•"/>
      <w:lvlJc w:val="left"/>
      <w:pPr>
        <w:ind w:left="2813" w:hanging="668"/>
      </w:pPr>
      <w:rPr>
        <w:rFonts w:hint="default"/>
      </w:rPr>
    </w:lvl>
    <w:lvl w:ilvl="3">
      <w:start w:val="0"/>
      <w:numFmt w:val="bullet"/>
      <w:lvlText w:val="•"/>
      <w:lvlJc w:val="left"/>
      <w:pPr>
        <w:ind w:left="3626" w:hanging="668"/>
      </w:pPr>
      <w:rPr>
        <w:rFonts w:hint="default"/>
      </w:rPr>
    </w:lvl>
    <w:lvl w:ilvl="4">
      <w:start w:val="0"/>
      <w:numFmt w:val="bullet"/>
      <w:lvlText w:val="•"/>
      <w:lvlJc w:val="left"/>
      <w:pPr>
        <w:ind w:left="4440" w:hanging="668"/>
      </w:pPr>
      <w:rPr>
        <w:rFonts w:hint="default"/>
      </w:rPr>
    </w:lvl>
    <w:lvl w:ilvl="5">
      <w:start w:val="0"/>
      <w:numFmt w:val="bullet"/>
      <w:lvlText w:val="•"/>
      <w:lvlJc w:val="left"/>
      <w:pPr>
        <w:ind w:left="5253" w:hanging="668"/>
      </w:pPr>
      <w:rPr>
        <w:rFonts w:hint="default"/>
      </w:rPr>
    </w:lvl>
    <w:lvl w:ilvl="6">
      <w:start w:val="0"/>
      <w:numFmt w:val="bullet"/>
      <w:lvlText w:val="•"/>
      <w:lvlJc w:val="left"/>
      <w:pPr>
        <w:ind w:left="6066" w:hanging="668"/>
      </w:pPr>
      <w:rPr>
        <w:rFonts w:hint="default"/>
      </w:rPr>
    </w:lvl>
    <w:lvl w:ilvl="7">
      <w:start w:val="0"/>
      <w:numFmt w:val="bullet"/>
      <w:lvlText w:val="•"/>
      <w:lvlJc w:val="left"/>
      <w:pPr>
        <w:ind w:left="6880" w:hanging="668"/>
      </w:pPr>
      <w:rPr>
        <w:rFonts w:hint="default"/>
      </w:rPr>
    </w:lvl>
    <w:lvl w:ilvl="8">
      <w:start w:val="0"/>
      <w:numFmt w:val="bullet"/>
      <w:lvlText w:val="•"/>
      <w:lvlJc w:val="left"/>
      <w:pPr>
        <w:ind w:left="7693" w:hanging="668"/>
      </w:pPr>
      <w:rPr>
        <w:rFonts w:hint="default"/>
      </w:rPr>
    </w:lvl>
  </w:abstractNum>
  <w:abstractNum w:abstractNumId="23">
    <w:multiLevelType w:val="hybridMultilevel"/>
    <w:lvl w:ilvl="0">
      <w:start w:val="0"/>
      <w:numFmt w:val="bullet"/>
      <w:lvlText w:val="-"/>
      <w:lvlJc w:val="left"/>
      <w:pPr>
        <w:ind w:left="1334" w:hanging="652"/>
      </w:pPr>
      <w:rPr>
        <w:rFonts w:hint="default" w:ascii="Arial" w:hAnsi="Arial" w:eastAsia="Arial" w:cs="Arial"/>
        <w:w w:val="102"/>
        <w:sz w:val="22"/>
        <w:szCs w:val="22"/>
      </w:rPr>
    </w:lvl>
    <w:lvl w:ilvl="1">
      <w:start w:val="0"/>
      <w:numFmt w:val="bullet"/>
      <w:lvlText w:val="•"/>
      <w:lvlJc w:val="left"/>
      <w:pPr>
        <w:ind w:left="2138" w:hanging="652"/>
      </w:pPr>
      <w:rPr>
        <w:rFonts w:hint="default"/>
      </w:rPr>
    </w:lvl>
    <w:lvl w:ilvl="2">
      <w:start w:val="0"/>
      <w:numFmt w:val="bullet"/>
      <w:lvlText w:val="•"/>
      <w:lvlJc w:val="left"/>
      <w:pPr>
        <w:ind w:left="2936" w:hanging="652"/>
      </w:pPr>
      <w:rPr>
        <w:rFonts w:hint="default"/>
      </w:rPr>
    </w:lvl>
    <w:lvl w:ilvl="3">
      <w:start w:val="0"/>
      <w:numFmt w:val="bullet"/>
      <w:lvlText w:val="•"/>
      <w:lvlJc w:val="left"/>
      <w:pPr>
        <w:ind w:left="3734" w:hanging="652"/>
      </w:pPr>
      <w:rPr>
        <w:rFonts w:hint="default"/>
      </w:rPr>
    </w:lvl>
    <w:lvl w:ilvl="4">
      <w:start w:val="0"/>
      <w:numFmt w:val="bullet"/>
      <w:lvlText w:val="•"/>
      <w:lvlJc w:val="left"/>
      <w:pPr>
        <w:ind w:left="4532" w:hanging="652"/>
      </w:pPr>
      <w:rPr>
        <w:rFonts w:hint="default"/>
      </w:rPr>
    </w:lvl>
    <w:lvl w:ilvl="5">
      <w:start w:val="0"/>
      <w:numFmt w:val="bullet"/>
      <w:lvlText w:val="•"/>
      <w:lvlJc w:val="left"/>
      <w:pPr>
        <w:ind w:left="5330" w:hanging="652"/>
      </w:pPr>
      <w:rPr>
        <w:rFonts w:hint="default"/>
      </w:rPr>
    </w:lvl>
    <w:lvl w:ilvl="6">
      <w:start w:val="0"/>
      <w:numFmt w:val="bullet"/>
      <w:lvlText w:val="•"/>
      <w:lvlJc w:val="left"/>
      <w:pPr>
        <w:ind w:left="6128" w:hanging="652"/>
      </w:pPr>
      <w:rPr>
        <w:rFonts w:hint="default"/>
      </w:rPr>
    </w:lvl>
    <w:lvl w:ilvl="7">
      <w:start w:val="0"/>
      <w:numFmt w:val="bullet"/>
      <w:lvlText w:val="•"/>
      <w:lvlJc w:val="left"/>
      <w:pPr>
        <w:ind w:left="6926" w:hanging="652"/>
      </w:pPr>
      <w:rPr>
        <w:rFonts w:hint="default"/>
      </w:rPr>
    </w:lvl>
    <w:lvl w:ilvl="8">
      <w:start w:val="0"/>
      <w:numFmt w:val="bullet"/>
      <w:lvlText w:val="•"/>
      <w:lvlJc w:val="left"/>
      <w:pPr>
        <w:ind w:left="7724" w:hanging="652"/>
      </w:pPr>
      <w:rPr>
        <w:rFonts w:hint="default"/>
      </w:rPr>
    </w:lvl>
  </w:abstractNum>
  <w:abstractNum w:abstractNumId="22">
    <w:multiLevelType w:val="hybridMultilevel"/>
    <w:lvl w:ilvl="0">
      <w:start w:val="1"/>
      <w:numFmt w:val="lowerRoman"/>
      <w:lvlText w:val="(%1)"/>
      <w:lvlJc w:val="left"/>
      <w:pPr>
        <w:ind w:left="934" w:hanging="490"/>
        <w:jc w:val="right"/>
      </w:pPr>
      <w:rPr>
        <w:rFonts w:hint="default" w:ascii="Garamond" w:hAnsi="Garamond" w:eastAsia="Garamond" w:cs="Garamond"/>
        <w:b/>
        <w:bCs/>
        <w:i/>
        <w:spacing w:val="-2"/>
        <w:w w:val="94"/>
        <w:sz w:val="24"/>
        <w:szCs w:val="24"/>
      </w:rPr>
    </w:lvl>
    <w:lvl w:ilvl="1">
      <w:start w:val="1"/>
      <w:numFmt w:val="lowerLetter"/>
      <w:lvlText w:val="(%2)"/>
      <w:lvlJc w:val="left"/>
      <w:pPr>
        <w:ind w:left="1467" w:hanging="533"/>
        <w:jc w:val="left"/>
      </w:pPr>
      <w:rPr>
        <w:rFonts w:hint="default"/>
        <w:b/>
        <w:bCs/>
        <w:i/>
        <w:w w:val="94"/>
      </w:rPr>
    </w:lvl>
    <w:lvl w:ilvl="2">
      <w:start w:val="0"/>
      <w:numFmt w:val="bullet"/>
      <w:lvlText w:val="•"/>
      <w:lvlJc w:val="left"/>
      <w:pPr>
        <w:ind w:left="1860" w:hanging="533"/>
      </w:pPr>
      <w:rPr>
        <w:rFonts w:hint="default"/>
      </w:rPr>
    </w:lvl>
    <w:lvl w:ilvl="3">
      <w:start w:val="0"/>
      <w:numFmt w:val="bullet"/>
      <w:lvlText w:val="•"/>
      <w:lvlJc w:val="left"/>
      <w:pPr>
        <w:ind w:left="2792" w:hanging="533"/>
      </w:pPr>
      <w:rPr>
        <w:rFonts w:hint="default"/>
      </w:rPr>
    </w:lvl>
    <w:lvl w:ilvl="4">
      <w:start w:val="0"/>
      <w:numFmt w:val="bullet"/>
      <w:lvlText w:val="•"/>
      <w:lvlJc w:val="left"/>
      <w:pPr>
        <w:ind w:left="3725" w:hanging="533"/>
      </w:pPr>
      <w:rPr>
        <w:rFonts w:hint="default"/>
      </w:rPr>
    </w:lvl>
    <w:lvl w:ilvl="5">
      <w:start w:val="0"/>
      <w:numFmt w:val="bullet"/>
      <w:lvlText w:val="•"/>
      <w:lvlJc w:val="left"/>
      <w:pPr>
        <w:ind w:left="4657" w:hanging="533"/>
      </w:pPr>
      <w:rPr>
        <w:rFonts w:hint="default"/>
      </w:rPr>
    </w:lvl>
    <w:lvl w:ilvl="6">
      <w:start w:val="0"/>
      <w:numFmt w:val="bullet"/>
      <w:lvlText w:val="•"/>
      <w:lvlJc w:val="left"/>
      <w:pPr>
        <w:ind w:left="5590" w:hanging="533"/>
      </w:pPr>
      <w:rPr>
        <w:rFonts w:hint="default"/>
      </w:rPr>
    </w:lvl>
    <w:lvl w:ilvl="7">
      <w:start w:val="0"/>
      <w:numFmt w:val="bullet"/>
      <w:lvlText w:val="•"/>
      <w:lvlJc w:val="left"/>
      <w:pPr>
        <w:ind w:left="6522" w:hanging="533"/>
      </w:pPr>
      <w:rPr>
        <w:rFonts w:hint="default"/>
      </w:rPr>
    </w:lvl>
    <w:lvl w:ilvl="8">
      <w:start w:val="0"/>
      <w:numFmt w:val="bullet"/>
      <w:lvlText w:val="•"/>
      <w:lvlJc w:val="left"/>
      <w:pPr>
        <w:ind w:left="7455" w:hanging="533"/>
      </w:pPr>
      <w:rPr>
        <w:rFonts w:hint="default"/>
      </w:rPr>
    </w:lvl>
  </w:abstractNum>
  <w:abstractNum w:abstractNumId="21">
    <w:multiLevelType w:val="hybridMultilevel"/>
    <w:lvl w:ilvl="0">
      <w:start w:val="0"/>
      <w:numFmt w:val="bullet"/>
      <w:lvlText w:val=""/>
      <w:lvlJc w:val="left"/>
      <w:pPr>
        <w:ind w:left="1078" w:hanging="340"/>
      </w:pPr>
      <w:rPr>
        <w:rFonts w:hint="default" w:ascii="Symbol" w:hAnsi="Symbol" w:eastAsia="Symbol" w:cs="Symbol"/>
        <w:w w:val="102"/>
        <w:sz w:val="22"/>
        <w:szCs w:val="22"/>
      </w:rPr>
    </w:lvl>
    <w:lvl w:ilvl="1">
      <w:start w:val="0"/>
      <w:numFmt w:val="bullet"/>
      <w:lvlText w:val="•"/>
      <w:lvlJc w:val="left"/>
      <w:pPr>
        <w:ind w:left="1904" w:hanging="340"/>
      </w:pPr>
      <w:rPr>
        <w:rFonts w:hint="default"/>
      </w:rPr>
    </w:lvl>
    <w:lvl w:ilvl="2">
      <w:start w:val="0"/>
      <w:numFmt w:val="bullet"/>
      <w:lvlText w:val="•"/>
      <w:lvlJc w:val="left"/>
      <w:pPr>
        <w:ind w:left="2728" w:hanging="340"/>
      </w:pPr>
      <w:rPr>
        <w:rFonts w:hint="default"/>
      </w:rPr>
    </w:lvl>
    <w:lvl w:ilvl="3">
      <w:start w:val="0"/>
      <w:numFmt w:val="bullet"/>
      <w:lvlText w:val="•"/>
      <w:lvlJc w:val="left"/>
      <w:pPr>
        <w:ind w:left="3552" w:hanging="340"/>
      </w:pPr>
      <w:rPr>
        <w:rFonts w:hint="default"/>
      </w:rPr>
    </w:lvl>
    <w:lvl w:ilvl="4">
      <w:start w:val="0"/>
      <w:numFmt w:val="bullet"/>
      <w:lvlText w:val="•"/>
      <w:lvlJc w:val="left"/>
      <w:pPr>
        <w:ind w:left="4376" w:hanging="340"/>
      </w:pPr>
      <w:rPr>
        <w:rFonts w:hint="default"/>
      </w:rPr>
    </w:lvl>
    <w:lvl w:ilvl="5">
      <w:start w:val="0"/>
      <w:numFmt w:val="bullet"/>
      <w:lvlText w:val="•"/>
      <w:lvlJc w:val="left"/>
      <w:pPr>
        <w:ind w:left="5200" w:hanging="340"/>
      </w:pPr>
      <w:rPr>
        <w:rFonts w:hint="default"/>
      </w:rPr>
    </w:lvl>
    <w:lvl w:ilvl="6">
      <w:start w:val="0"/>
      <w:numFmt w:val="bullet"/>
      <w:lvlText w:val="•"/>
      <w:lvlJc w:val="left"/>
      <w:pPr>
        <w:ind w:left="6024" w:hanging="340"/>
      </w:pPr>
      <w:rPr>
        <w:rFonts w:hint="default"/>
      </w:rPr>
    </w:lvl>
    <w:lvl w:ilvl="7">
      <w:start w:val="0"/>
      <w:numFmt w:val="bullet"/>
      <w:lvlText w:val="•"/>
      <w:lvlJc w:val="left"/>
      <w:pPr>
        <w:ind w:left="6848" w:hanging="340"/>
      </w:pPr>
      <w:rPr>
        <w:rFonts w:hint="default"/>
      </w:rPr>
    </w:lvl>
    <w:lvl w:ilvl="8">
      <w:start w:val="0"/>
      <w:numFmt w:val="bullet"/>
      <w:lvlText w:val="•"/>
      <w:lvlJc w:val="left"/>
      <w:pPr>
        <w:ind w:left="7672" w:hanging="340"/>
      </w:pPr>
      <w:rPr>
        <w:rFonts w:hint="default"/>
      </w:rPr>
    </w:lvl>
  </w:abstractNum>
  <w:abstractNum w:abstractNumId="20">
    <w:multiLevelType w:val="hybridMultilevel"/>
    <w:lvl w:ilvl="0">
      <w:start w:val="1"/>
      <w:numFmt w:val="lowerLetter"/>
      <w:lvlText w:val="%1."/>
      <w:lvlJc w:val="left"/>
      <w:pPr>
        <w:ind w:left="1078" w:hanging="400"/>
        <w:jc w:val="left"/>
      </w:pPr>
      <w:rPr>
        <w:rFonts w:hint="default" w:ascii="Garamond" w:hAnsi="Garamond" w:eastAsia="Garamond" w:cs="Garamond"/>
        <w:b/>
        <w:bCs/>
        <w:spacing w:val="-1"/>
        <w:w w:val="102"/>
        <w:sz w:val="22"/>
        <w:szCs w:val="22"/>
      </w:rPr>
    </w:lvl>
    <w:lvl w:ilvl="1">
      <w:start w:val="0"/>
      <w:numFmt w:val="bullet"/>
      <w:lvlText w:val=""/>
      <w:lvlJc w:val="left"/>
      <w:pPr>
        <w:ind w:left="1467" w:hanging="400"/>
      </w:pPr>
      <w:rPr>
        <w:rFonts w:hint="default" w:ascii="Symbol" w:hAnsi="Symbol" w:eastAsia="Symbol" w:cs="Symbol"/>
        <w:w w:val="102"/>
        <w:sz w:val="22"/>
        <w:szCs w:val="22"/>
      </w:rPr>
    </w:lvl>
    <w:lvl w:ilvl="2">
      <w:start w:val="0"/>
      <w:numFmt w:val="bullet"/>
      <w:lvlText w:val="•"/>
      <w:lvlJc w:val="left"/>
      <w:pPr>
        <w:ind w:left="2333" w:hanging="400"/>
      </w:pPr>
      <w:rPr>
        <w:rFonts w:hint="default"/>
      </w:rPr>
    </w:lvl>
    <w:lvl w:ilvl="3">
      <w:start w:val="0"/>
      <w:numFmt w:val="bullet"/>
      <w:lvlText w:val="•"/>
      <w:lvlJc w:val="left"/>
      <w:pPr>
        <w:ind w:left="3206" w:hanging="400"/>
      </w:pPr>
      <w:rPr>
        <w:rFonts w:hint="default"/>
      </w:rPr>
    </w:lvl>
    <w:lvl w:ilvl="4">
      <w:start w:val="0"/>
      <w:numFmt w:val="bullet"/>
      <w:lvlText w:val="•"/>
      <w:lvlJc w:val="left"/>
      <w:pPr>
        <w:ind w:left="4080" w:hanging="400"/>
      </w:pPr>
      <w:rPr>
        <w:rFonts w:hint="default"/>
      </w:rPr>
    </w:lvl>
    <w:lvl w:ilvl="5">
      <w:start w:val="0"/>
      <w:numFmt w:val="bullet"/>
      <w:lvlText w:val="•"/>
      <w:lvlJc w:val="left"/>
      <w:pPr>
        <w:ind w:left="4953" w:hanging="400"/>
      </w:pPr>
      <w:rPr>
        <w:rFonts w:hint="default"/>
      </w:rPr>
    </w:lvl>
    <w:lvl w:ilvl="6">
      <w:start w:val="0"/>
      <w:numFmt w:val="bullet"/>
      <w:lvlText w:val="•"/>
      <w:lvlJc w:val="left"/>
      <w:pPr>
        <w:ind w:left="5826" w:hanging="400"/>
      </w:pPr>
      <w:rPr>
        <w:rFonts w:hint="default"/>
      </w:rPr>
    </w:lvl>
    <w:lvl w:ilvl="7">
      <w:start w:val="0"/>
      <w:numFmt w:val="bullet"/>
      <w:lvlText w:val="•"/>
      <w:lvlJc w:val="left"/>
      <w:pPr>
        <w:ind w:left="6700" w:hanging="400"/>
      </w:pPr>
      <w:rPr>
        <w:rFonts w:hint="default"/>
      </w:rPr>
    </w:lvl>
    <w:lvl w:ilvl="8">
      <w:start w:val="0"/>
      <w:numFmt w:val="bullet"/>
      <w:lvlText w:val="•"/>
      <w:lvlJc w:val="left"/>
      <w:pPr>
        <w:ind w:left="7573" w:hanging="400"/>
      </w:pPr>
      <w:rPr>
        <w:rFonts w:hint="default"/>
      </w:rPr>
    </w:lvl>
  </w:abstractNum>
  <w:abstractNum w:abstractNumId="19">
    <w:multiLevelType w:val="hybridMultilevel"/>
    <w:lvl w:ilvl="0">
      <w:start w:val="0"/>
      <w:numFmt w:val="bullet"/>
      <w:lvlText w:val="-"/>
      <w:lvlJc w:val="left"/>
      <w:pPr>
        <w:ind w:left="1078" w:hanging="340"/>
      </w:pPr>
      <w:rPr>
        <w:rFonts w:hint="default" w:ascii="Times New Roman" w:hAnsi="Times New Roman" w:eastAsia="Times New Roman" w:cs="Times New Roman"/>
        <w:w w:val="102"/>
        <w:sz w:val="22"/>
        <w:szCs w:val="22"/>
      </w:rPr>
    </w:lvl>
    <w:lvl w:ilvl="1">
      <w:start w:val="0"/>
      <w:numFmt w:val="bullet"/>
      <w:lvlText w:val="•"/>
      <w:lvlJc w:val="left"/>
      <w:pPr>
        <w:ind w:left="1904" w:hanging="340"/>
      </w:pPr>
      <w:rPr>
        <w:rFonts w:hint="default"/>
      </w:rPr>
    </w:lvl>
    <w:lvl w:ilvl="2">
      <w:start w:val="0"/>
      <w:numFmt w:val="bullet"/>
      <w:lvlText w:val="•"/>
      <w:lvlJc w:val="left"/>
      <w:pPr>
        <w:ind w:left="2728" w:hanging="340"/>
      </w:pPr>
      <w:rPr>
        <w:rFonts w:hint="default"/>
      </w:rPr>
    </w:lvl>
    <w:lvl w:ilvl="3">
      <w:start w:val="0"/>
      <w:numFmt w:val="bullet"/>
      <w:lvlText w:val="•"/>
      <w:lvlJc w:val="left"/>
      <w:pPr>
        <w:ind w:left="3552" w:hanging="340"/>
      </w:pPr>
      <w:rPr>
        <w:rFonts w:hint="default"/>
      </w:rPr>
    </w:lvl>
    <w:lvl w:ilvl="4">
      <w:start w:val="0"/>
      <w:numFmt w:val="bullet"/>
      <w:lvlText w:val="•"/>
      <w:lvlJc w:val="left"/>
      <w:pPr>
        <w:ind w:left="4376" w:hanging="340"/>
      </w:pPr>
      <w:rPr>
        <w:rFonts w:hint="default"/>
      </w:rPr>
    </w:lvl>
    <w:lvl w:ilvl="5">
      <w:start w:val="0"/>
      <w:numFmt w:val="bullet"/>
      <w:lvlText w:val="•"/>
      <w:lvlJc w:val="left"/>
      <w:pPr>
        <w:ind w:left="5200" w:hanging="340"/>
      </w:pPr>
      <w:rPr>
        <w:rFonts w:hint="default"/>
      </w:rPr>
    </w:lvl>
    <w:lvl w:ilvl="6">
      <w:start w:val="0"/>
      <w:numFmt w:val="bullet"/>
      <w:lvlText w:val="•"/>
      <w:lvlJc w:val="left"/>
      <w:pPr>
        <w:ind w:left="6024" w:hanging="340"/>
      </w:pPr>
      <w:rPr>
        <w:rFonts w:hint="default"/>
      </w:rPr>
    </w:lvl>
    <w:lvl w:ilvl="7">
      <w:start w:val="0"/>
      <w:numFmt w:val="bullet"/>
      <w:lvlText w:val="•"/>
      <w:lvlJc w:val="left"/>
      <w:pPr>
        <w:ind w:left="6848" w:hanging="340"/>
      </w:pPr>
      <w:rPr>
        <w:rFonts w:hint="default"/>
      </w:rPr>
    </w:lvl>
    <w:lvl w:ilvl="8">
      <w:start w:val="0"/>
      <w:numFmt w:val="bullet"/>
      <w:lvlText w:val="•"/>
      <w:lvlJc w:val="left"/>
      <w:pPr>
        <w:ind w:left="7672" w:hanging="340"/>
      </w:pPr>
      <w:rPr>
        <w:rFonts w:hint="default"/>
      </w:rPr>
    </w:lvl>
  </w:abstractNum>
  <w:abstractNum w:abstractNumId="18">
    <w:multiLevelType w:val="hybridMultilevel"/>
    <w:lvl w:ilvl="0">
      <w:start w:val="3"/>
      <w:numFmt w:val="lowerLetter"/>
      <w:lvlText w:val="%1"/>
      <w:lvlJc w:val="left"/>
      <w:pPr>
        <w:ind w:left="763" w:hanging="363"/>
        <w:jc w:val="left"/>
      </w:pPr>
      <w:rPr>
        <w:rFonts w:hint="default"/>
      </w:rPr>
    </w:lvl>
    <w:lvl w:ilvl="1">
      <w:start w:val="4"/>
      <w:numFmt w:val="lowerLetter"/>
      <w:lvlText w:val="%1.%2."/>
      <w:lvlJc w:val="left"/>
      <w:pPr>
        <w:ind w:left="763" w:hanging="363"/>
        <w:jc w:val="left"/>
      </w:pPr>
      <w:rPr>
        <w:rFonts w:hint="default" w:ascii="Garamond" w:hAnsi="Garamond" w:eastAsia="Garamond" w:cs="Garamond"/>
        <w:spacing w:val="-1"/>
        <w:w w:val="102"/>
        <w:sz w:val="22"/>
        <w:szCs w:val="22"/>
      </w:rPr>
    </w:lvl>
    <w:lvl w:ilvl="2">
      <w:start w:val="0"/>
      <w:numFmt w:val="bullet"/>
      <w:lvlText w:val=""/>
      <w:lvlJc w:val="left"/>
      <w:pPr>
        <w:ind w:left="1078" w:hanging="340"/>
      </w:pPr>
      <w:rPr>
        <w:rFonts w:hint="default" w:ascii="Symbol" w:hAnsi="Symbol" w:eastAsia="Symbol" w:cs="Symbol"/>
        <w:w w:val="102"/>
        <w:sz w:val="22"/>
        <w:szCs w:val="22"/>
      </w:rPr>
    </w:lvl>
    <w:lvl w:ilvl="3">
      <w:start w:val="0"/>
      <w:numFmt w:val="bullet"/>
      <w:lvlText w:val="•"/>
      <w:lvlJc w:val="left"/>
      <w:pPr>
        <w:ind w:left="2911" w:hanging="340"/>
      </w:pPr>
      <w:rPr>
        <w:rFonts w:hint="default"/>
      </w:rPr>
    </w:lvl>
    <w:lvl w:ilvl="4">
      <w:start w:val="0"/>
      <w:numFmt w:val="bullet"/>
      <w:lvlText w:val="•"/>
      <w:lvlJc w:val="left"/>
      <w:pPr>
        <w:ind w:left="3826" w:hanging="340"/>
      </w:pPr>
      <w:rPr>
        <w:rFonts w:hint="default"/>
      </w:rPr>
    </w:lvl>
    <w:lvl w:ilvl="5">
      <w:start w:val="0"/>
      <w:numFmt w:val="bullet"/>
      <w:lvlText w:val="•"/>
      <w:lvlJc w:val="left"/>
      <w:pPr>
        <w:ind w:left="4742" w:hanging="340"/>
      </w:pPr>
      <w:rPr>
        <w:rFonts w:hint="default"/>
      </w:rPr>
    </w:lvl>
    <w:lvl w:ilvl="6">
      <w:start w:val="0"/>
      <w:numFmt w:val="bullet"/>
      <w:lvlText w:val="•"/>
      <w:lvlJc w:val="left"/>
      <w:pPr>
        <w:ind w:left="5657" w:hanging="340"/>
      </w:pPr>
      <w:rPr>
        <w:rFonts w:hint="default"/>
      </w:rPr>
    </w:lvl>
    <w:lvl w:ilvl="7">
      <w:start w:val="0"/>
      <w:numFmt w:val="bullet"/>
      <w:lvlText w:val="•"/>
      <w:lvlJc w:val="left"/>
      <w:pPr>
        <w:ind w:left="6573" w:hanging="340"/>
      </w:pPr>
      <w:rPr>
        <w:rFonts w:hint="default"/>
      </w:rPr>
    </w:lvl>
    <w:lvl w:ilvl="8">
      <w:start w:val="0"/>
      <w:numFmt w:val="bullet"/>
      <w:lvlText w:val="•"/>
      <w:lvlJc w:val="left"/>
      <w:pPr>
        <w:ind w:left="7488" w:hanging="340"/>
      </w:pPr>
      <w:rPr>
        <w:rFonts w:hint="default"/>
      </w:rPr>
    </w:lvl>
  </w:abstractNum>
  <w:abstractNum w:abstractNumId="17">
    <w:multiLevelType w:val="hybridMultilevel"/>
    <w:lvl w:ilvl="0">
      <w:start w:val="8"/>
      <w:numFmt w:val="decimal"/>
      <w:lvlText w:val="%1"/>
      <w:lvlJc w:val="left"/>
      <w:pPr>
        <w:ind w:left="1065" w:hanging="666"/>
        <w:jc w:val="left"/>
      </w:pPr>
      <w:rPr>
        <w:rFonts w:hint="default"/>
      </w:rPr>
    </w:lvl>
    <w:lvl w:ilvl="1">
      <w:start w:val="1"/>
      <w:numFmt w:val="decimal"/>
      <w:lvlText w:val="%1.%2"/>
      <w:lvlJc w:val="left"/>
      <w:pPr>
        <w:ind w:left="400" w:hanging="666"/>
        <w:jc w:val="left"/>
      </w:pPr>
      <w:rPr>
        <w:rFonts w:hint="default" w:ascii="Garamond" w:hAnsi="Garamond" w:eastAsia="Garamond" w:cs="Garamond"/>
        <w:b/>
        <w:bCs/>
        <w:w w:val="102"/>
        <w:sz w:val="22"/>
        <w:szCs w:val="22"/>
      </w:rPr>
    </w:lvl>
    <w:lvl w:ilvl="2">
      <w:start w:val="0"/>
      <w:numFmt w:val="bullet"/>
      <w:lvlText w:val="-"/>
      <w:lvlJc w:val="left"/>
      <w:pPr>
        <w:ind w:left="1078" w:hanging="340"/>
      </w:pPr>
      <w:rPr>
        <w:rFonts w:hint="default" w:ascii="Times New Roman" w:hAnsi="Times New Roman" w:eastAsia="Times New Roman" w:cs="Times New Roman"/>
        <w:w w:val="102"/>
        <w:sz w:val="22"/>
        <w:szCs w:val="22"/>
      </w:rPr>
    </w:lvl>
    <w:lvl w:ilvl="3">
      <w:start w:val="0"/>
      <w:numFmt w:val="bullet"/>
      <w:lvlText w:val="•"/>
      <w:lvlJc w:val="left"/>
      <w:pPr>
        <w:ind w:left="2110" w:hanging="340"/>
      </w:pPr>
      <w:rPr>
        <w:rFonts w:hint="default"/>
      </w:rPr>
    </w:lvl>
    <w:lvl w:ilvl="4">
      <w:start w:val="0"/>
      <w:numFmt w:val="bullet"/>
      <w:lvlText w:val="•"/>
      <w:lvlJc w:val="left"/>
      <w:pPr>
        <w:ind w:left="3140" w:hanging="340"/>
      </w:pPr>
      <w:rPr>
        <w:rFonts w:hint="default"/>
      </w:rPr>
    </w:lvl>
    <w:lvl w:ilvl="5">
      <w:start w:val="0"/>
      <w:numFmt w:val="bullet"/>
      <w:lvlText w:val="•"/>
      <w:lvlJc w:val="left"/>
      <w:pPr>
        <w:ind w:left="4170" w:hanging="340"/>
      </w:pPr>
      <w:rPr>
        <w:rFonts w:hint="default"/>
      </w:rPr>
    </w:lvl>
    <w:lvl w:ilvl="6">
      <w:start w:val="0"/>
      <w:numFmt w:val="bullet"/>
      <w:lvlText w:val="•"/>
      <w:lvlJc w:val="left"/>
      <w:pPr>
        <w:ind w:left="5200" w:hanging="340"/>
      </w:pPr>
      <w:rPr>
        <w:rFonts w:hint="default"/>
      </w:rPr>
    </w:lvl>
    <w:lvl w:ilvl="7">
      <w:start w:val="0"/>
      <w:numFmt w:val="bullet"/>
      <w:lvlText w:val="•"/>
      <w:lvlJc w:val="left"/>
      <w:pPr>
        <w:ind w:left="6230" w:hanging="340"/>
      </w:pPr>
      <w:rPr>
        <w:rFonts w:hint="default"/>
      </w:rPr>
    </w:lvl>
    <w:lvl w:ilvl="8">
      <w:start w:val="0"/>
      <w:numFmt w:val="bullet"/>
      <w:lvlText w:val="•"/>
      <w:lvlJc w:val="left"/>
      <w:pPr>
        <w:ind w:left="7260" w:hanging="340"/>
      </w:pPr>
      <w:rPr>
        <w:rFonts w:hint="default"/>
      </w:rPr>
    </w:lvl>
  </w:abstractNum>
  <w:abstractNum w:abstractNumId="16">
    <w:multiLevelType w:val="hybridMultilevel"/>
    <w:lvl w:ilvl="0">
      <w:start w:val="0"/>
      <w:numFmt w:val="bullet"/>
      <w:lvlText w:val="-"/>
      <w:lvlJc w:val="left"/>
      <w:pPr>
        <w:ind w:left="934" w:hanging="266"/>
      </w:pPr>
      <w:rPr>
        <w:rFonts w:hint="default" w:ascii="Arial" w:hAnsi="Arial" w:eastAsia="Arial" w:cs="Arial"/>
        <w:w w:val="102"/>
        <w:sz w:val="22"/>
        <w:szCs w:val="22"/>
      </w:rPr>
    </w:lvl>
    <w:lvl w:ilvl="1">
      <w:start w:val="0"/>
      <w:numFmt w:val="bullet"/>
      <w:lvlText w:val="•"/>
      <w:lvlJc w:val="left"/>
      <w:pPr>
        <w:ind w:left="1778" w:hanging="266"/>
      </w:pPr>
      <w:rPr>
        <w:rFonts w:hint="default"/>
      </w:rPr>
    </w:lvl>
    <w:lvl w:ilvl="2">
      <w:start w:val="0"/>
      <w:numFmt w:val="bullet"/>
      <w:lvlText w:val="•"/>
      <w:lvlJc w:val="left"/>
      <w:pPr>
        <w:ind w:left="2616" w:hanging="266"/>
      </w:pPr>
      <w:rPr>
        <w:rFonts w:hint="default"/>
      </w:rPr>
    </w:lvl>
    <w:lvl w:ilvl="3">
      <w:start w:val="0"/>
      <w:numFmt w:val="bullet"/>
      <w:lvlText w:val="•"/>
      <w:lvlJc w:val="left"/>
      <w:pPr>
        <w:ind w:left="3454" w:hanging="266"/>
      </w:pPr>
      <w:rPr>
        <w:rFonts w:hint="default"/>
      </w:rPr>
    </w:lvl>
    <w:lvl w:ilvl="4">
      <w:start w:val="0"/>
      <w:numFmt w:val="bullet"/>
      <w:lvlText w:val="•"/>
      <w:lvlJc w:val="left"/>
      <w:pPr>
        <w:ind w:left="4292" w:hanging="266"/>
      </w:pPr>
      <w:rPr>
        <w:rFonts w:hint="default"/>
      </w:rPr>
    </w:lvl>
    <w:lvl w:ilvl="5">
      <w:start w:val="0"/>
      <w:numFmt w:val="bullet"/>
      <w:lvlText w:val="•"/>
      <w:lvlJc w:val="left"/>
      <w:pPr>
        <w:ind w:left="5130" w:hanging="266"/>
      </w:pPr>
      <w:rPr>
        <w:rFonts w:hint="default"/>
      </w:rPr>
    </w:lvl>
    <w:lvl w:ilvl="6">
      <w:start w:val="0"/>
      <w:numFmt w:val="bullet"/>
      <w:lvlText w:val="•"/>
      <w:lvlJc w:val="left"/>
      <w:pPr>
        <w:ind w:left="5968" w:hanging="266"/>
      </w:pPr>
      <w:rPr>
        <w:rFonts w:hint="default"/>
      </w:rPr>
    </w:lvl>
    <w:lvl w:ilvl="7">
      <w:start w:val="0"/>
      <w:numFmt w:val="bullet"/>
      <w:lvlText w:val="•"/>
      <w:lvlJc w:val="left"/>
      <w:pPr>
        <w:ind w:left="6806" w:hanging="266"/>
      </w:pPr>
      <w:rPr>
        <w:rFonts w:hint="default"/>
      </w:rPr>
    </w:lvl>
    <w:lvl w:ilvl="8">
      <w:start w:val="0"/>
      <w:numFmt w:val="bullet"/>
      <w:lvlText w:val="•"/>
      <w:lvlJc w:val="left"/>
      <w:pPr>
        <w:ind w:left="7644" w:hanging="266"/>
      </w:pPr>
      <w:rPr>
        <w:rFonts w:hint="default"/>
      </w:rPr>
    </w:lvl>
  </w:abstractNum>
  <w:abstractNum w:abstractNumId="15">
    <w:multiLevelType w:val="hybridMultilevel"/>
    <w:lvl w:ilvl="0">
      <w:start w:val="0"/>
      <w:numFmt w:val="bullet"/>
      <w:lvlText w:val=""/>
      <w:lvlJc w:val="left"/>
      <w:pPr>
        <w:ind w:left="934" w:hanging="267"/>
      </w:pPr>
      <w:rPr>
        <w:rFonts w:hint="default" w:ascii="Symbol" w:hAnsi="Symbol" w:eastAsia="Symbol" w:cs="Symbol"/>
        <w:w w:val="102"/>
        <w:sz w:val="22"/>
        <w:szCs w:val="22"/>
      </w:rPr>
    </w:lvl>
    <w:lvl w:ilvl="1">
      <w:start w:val="0"/>
      <w:numFmt w:val="bullet"/>
      <w:lvlText w:val="•"/>
      <w:lvlJc w:val="left"/>
      <w:pPr>
        <w:ind w:left="1778" w:hanging="267"/>
      </w:pPr>
      <w:rPr>
        <w:rFonts w:hint="default"/>
      </w:rPr>
    </w:lvl>
    <w:lvl w:ilvl="2">
      <w:start w:val="0"/>
      <w:numFmt w:val="bullet"/>
      <w:lvlText w:val="•"/>
      <w:lvlJc w:val="left"/>
      <w:pPr>
        <w:ind w:left="2616" w:hanging="267"/>
      </w:pPr>
      <w:rPr>
        <w:rFonts w:hint="default"/>
      </w:rPr>
    </w:lvl>
    <w:lvl w:ilvl="3">
      <w:start w:val="0"/>
      <w:numFmt w:val="bullet"/>
      <w:lvlText w:val="•"/>
      <w:lvlJc w:val="left"/>
      <w:pPr>
        <w:ind w:left="3454" w:hanging="267"/>
      </w:pPr>
      <w:rPr>
        <w:rFonts w:hint="default"/>
      </w:rPr>
    </w:lvl>
    <w:lvl w:ilvl="4">
      <w:start w:val="0"/>
      <w:numFmt w:val="bullet"/>
      <w:lvlText w:val="•"/>
      <w:lvlJc w:val="left"/>
      <w:pPr>
        <w:ind w:left="4292" w:hanging="267"/>
      </w:pPr>
      <w:rPr>
        <w:rFonts w:hint="default"/>
      </w:rPr>
    </w:lvl>
    <w:lvl w:ilvl="5">
      <w:start w:val="0"/>
      <w:numFmt w:val="bullet"/>
      <w:lvlText w:val="•"/>
      <w:lvlJc w:val="left"/>
      <w:pPr>
        <w:ind w:left="5130" w:hanging="267"/>
      </w:pPr>
      <w:rPr>
        <w:rFonts w:hint="default"/>
      </w:rPr>
    </w:lvl>
    <w:lvl w:ilvl="6">
      <w:start w:val="0"/>
      <w:numFmt w:val="bullet"/>
      <w:lvlText w:val="•"/>
      <w:lvlJc w:val="left"/>
      <w:pPr>
        <w:ind w:left="5968" w:hanging="267"/>
      </w:pPr>
      <w:rPr>
        <w:rFonts w:hint="default"/>
      </w:rPr>
    </w:lvl>
    <w:lvl w:ilvl="7">
      <w:start w:val="0"/>
      <w:numFmt w:val="bullet"/>
      <w:lvlText w:val="•"/>
      <w:lvlJc w:val="left"/>
      <w:pPr>
        <w:ind w:left="6806" w:hanging="267"/>
      </w:pPr>
      <w:rPr>
        <w:rFonts w:hint="default"/>
      </w:rPr>
    </w:lvl>
    <w:lvl w:ilvl="8">
      <w:start w:val="0"/>
      <w:numFmt w:val="bullet"/>
      <w:lvlText w:val="•"/>
      <w:lvlJc w:val="left"/>
      <w:pPr>
        <w:ind w:left="7644" w:hanging="267"/>
      </w:pPr>
      <w:rPr>
        <w:rFonts w:hint="default"/>
      </w:rPr>
    </w:lvl>
  </w:abstractNum>
  <w:abstractNum w:abstractNumId="14">
    <w:multiLevelType w:val="hybridMultilevel"/>
    <w:lvl w:ilvl="0">
      <w:start w:val="5"/>
      <w:numFmt w:val="decimal"/>
      <w:lvlText w:val="%1"/>
      <w:lvlJc w:val="left"/>
      <w:pPr>
        <w:ind w:left="1077" w:hanging="678"/>
        <w:jc w:val="left"/>
      </w:pPr>
      <w:rPr>
        <w:rFonts w:hint="default"/>
      </w:rPr>
    </w:lvl>
    <w:lvl w:ilvl="1">
      <w:start w:val="1"/>
      <w:numFmt w:val="decimal"/>
      <w:lvlText w:val="%1.%2"/>
      <w:lvlJc w:val="left"/>
      <w:pPr>
        <w:ind w:left="1077" w:hanging="678"/>
        <w:jc w:val="left"/>
      </w:pPr>
      <w:rPr>
        <w:rFonts w:hint="default" w:ascii="Garamond" w:hAnsi="Garamond" w:eastAsia="Garamond" w:cs="Garamond"/>
        <w:b/>
        <w:bCs/>
        <w:i/>
        <w:spacing w:val="-2"/>
        <w:w w:val="94"/>
        <w:sz w:val="24"/>
        <w:szCs w:val="24"/>
      </w:rPr>
    </w:lvl>
    <w:lvl w:ilvl="2">
      <w:start w:val="0"/>
      <w:numFmt w:val="bullet"/>
      <w:lvlText w:val=""/>
      <w:lvlJc w:val="left"/>
      <w:pPr>
        <w:ind w:left="1078" w:hanging="340"/>
      </w:pPr>
      <w:rPr>
        <w:rFonts w:hint="default" w:ascii="Symbol" w:hAnsi="Symbol" w:eastAsia="Symbol" w:cs="Symbol"/>
        <w:w w:val="102"/>
        <w:sz w:val="22"/>
        <w:szCs w:val="22"/>
      </w:rPr>
    </w:lvl>
    <w:lvl w:ilvl="3">
      <w:start w:val="0"/>
      <w:numFmt w:val="bullet"/>
      <w:lvlText w:val="•"/>
      <w:lvlJc w:val="left"/>
      <w:pPr>
        <w:ind w:left="3552" w:hanging="340"/>
      </w:pPr>
      <w:rPr>
        <w:rFonts w:hint="default"/>
      </w:rPr>
    </w:lvl>
    <w:lvl w:ilvl="4">
      <w:start w:val="0"/>
      <w:numFmt w:val="bullet"/>
      <w:lvlText w:val="•"/>
      <w:lvlJc w:val="left"/>
      <w:pPr>
        <w:ind w:left="4376" w:hanging="340"/>
      </w:pPr>
      <w:rPr>
        <w:rFonts w:hint="default"/>
      </w:rPr>
    </w:lvl>
    <w:lvl w:ilvl="5">
      <w:start w:val="0"/>
      <w:numFmt w:val="bullet"/>
      <w:lvlText w:val="•"/>
      <w:lvlJc w:val="left"/>
      <w:pPr>
        <w:ind w:left="5200" w:hanging="340"/>
      </w:pPr>
      <w:rPr>
        <w:rFonts w:hint="default"/>
      </w:rPr>
    </w:lvl>
    <w:lvl w:ilvl="6">
      <w:start w:val="0"/>
      <w:numFmt w:val="bullet"/>
      <w:lvlText w:val="•"/>
      <w:lvlJc w:val="left"/>
      <w:pPr>
        <w:ind w:left="6024" w:hanging="340"/>
      </w:pPr>
      <w:rPr>
        <w:rFonts w:hint="default"/>
      </w:rPr>
    </w:lvl>
    <w:lvl w:ilvl="7">
      <w:start w:val="0"/>
      <w:numFmt w:val="bullet"/>
      <w:lvlText w:val="•"/>
      <w:lvlJc w:val="left"/>
      <w:pPr>
        <w:ind w:left="6848" w:hanging="340"/>
      </w:pPr>
      <w:rPr>
        <w:rFonts w:hint="default"/>
      </w:rPr>
    </w:lvl>
    <w:lvl w:ilvl="8">
      <w:start w:val="0"/>
      <w:numFmt w:val="bullet"/>
      <w:lvlText w:val="•"/>
      <w:lvlJc w:val="left"/>
      <w:pPr>
        <w:ind w:left="7672" w:hanging="340"/>
      </w:pPr>
      <w:rPr>
        <w:rFonts w:hint="default"/>
      </w:rPr>
    </w:lvl>
  </w:abstractNum>
  <w:abstractNum w:abstractNumId="13">
    <w:multiLevelType w:val="hybridMultilevel"/>
    <w:lvl w:ilvl="0">
      <w:start w:val="0"/>
      <w:numFmt w:val="bullet"/>
      <w:lvlText w:val=""/>
      <w:lvlJc w:val="left"/>
      <w:pPr>
        <w:ind w:left="934" w:hanging="534"/>
      </w:pPr>
      <w:rPr>
        <w:rFonts w:hint="default" w:ascii="Wingdings" w:hAnsi="Wingdings" w:eastAsia="Wingdings" w:cs="Wingdings"/>
        <w:w w:val="102"/>
        <w:sz w:val="22"/>
        <w:szCs w:val="22"/>
      </w:rPr>
    </w:lvl>
    <w:lvl w:ilvl="1">
      <w:start w:val="0"/>
      <w:numFmt w:val="bullet"/>
      <w:lvlText w:val="•"/>
      <w:lvlJc w:val="left"/>
      <w:pPr>
        <w:ind w:left="1778" w:hanging="534"/>
      </w:pPr>
      <w:rPr>
        <w:rFonts w:hint="default"/>
      </w:rPr>
    </w:lvl>
    <w:lvl w:ilvl="2">
      <w:start w:val="0"/>
      <w:numFmt w:val="bullet"/>
      <w:lvlText w:val="•"/>
      <w:lvlJc w:val="left"/>
      <w:pPr>
        <w:ind w:left="2616" w:hanging="534"/>
      </w:pPr>
      <w:rPr>
        <w:rFonts w:hint="default"/>
      </w:rPr>
    </w:lvl>
    <w:lvl w:ilvl="3">
      <w:start w:val="0"/>
      <w:numFmt w:val="bullet"/>
      <w:lvlText w:val="•"/>
      <w:lvlJc w:val="left"/>
      <w:pPr>
        <w:ind w:left="3454" w:hanging="534"/>
      </w:pPr>
      <w:rPr>
        <w:rFonts w:hint="default"/>
      </w:rPr>
    </w:lvl>
    <w:lvl w:ilvl="4">
      <w:start w:val="0"/>
      <w:numFmt w:val="bullet"/>
      <w:lvlText w:val="•"/>
      <w:lvlJc w:val="left"/>
      <w:pPr>
        <w:ind w:left="4292" w:hanging="534"/>
      </w:pPr>
      <w:rPr>
        <w:rFonts w:hint="default"/>
      </w:rPr>
    </w:lvl>
    <w:lvl w:ilvl="5">
      <w:start w:val="0"/>
      <w:numFmt w:val="bullet"/>
      <w:lvlText w:val="•"/>
      <w:lvlJc w:val="left"/>
      <w:pPr>
        <w:ind w:left="5130" w:hanging="534"/>
      </w:pPr>
      <w:rPr>
        <w:rFonts w:hint="default"/>
      </w:rPr>
    </w:lvl>
    <w:lvl w:ilvl="6">
      <w:start w:val="0"/>
      <w:numFmt w:val="bullet"/>
      <w:lvlText w:val="•"/>
      <w:lvlJc w:val="left"/>
      <w:pPr>
        <w:ind w:left="5968" w:hanging="534"/>
      </w:pPr>
      <w:rPr>
        <w:rFonts w:hint="default"/>
      </w:rPr>
    </w:lvl>
    <w:lvl w:ilvl="7">
      <w:start w:val="0"/>
      <w:numFmt w:val="bullet"/>
      <w:lvlText w:val="•"/>
      <w:lvlJc w:val="left"/>
      <w:pPr>
        <w:ind w:left="6806" w:hanging="534"/>
      </w:pPr>
      <w:rPr>
        <w:rFonts w:hint="default"/>
      </w:rPr>
    </w:lvl>
    <w:lvl w:ilvl="8">
      <w:start w:val="0"/>
      <w:numFmt w:val="bullet"/>
      <w:lvlText w:val="•"/>
      <w:lvlJc w:val="left"/>
      <w:pPr>
        <w:ind w:left="7644" w:hanging="534"/>
      </w:pPr>
      <w:rPr>
        <w:rFonts w:hint="default"/>
      </w:rPr>
    </w:lvl>
  </w:abstractNum>
  <w:abstractNum w:abstractNumId="12">
    <w:multiLevelType w:val="hybridMultilevel"/>
    <w:lvl w:ilvl="0">
      <w:start w:val="4"/>
      <w:numFmt w:val="decimal"/>
      <w:lvlText w:val="%1"/>
      <w:lvlJc w:val="left"/>
      <w:pPr>
        <w:ind w:left="1066" w:hanging="666"/>
        <w:jc w:val="left"/>
      </w:pPr>
      <w:rPr>
        <w:rFonts w:hint="default"/>
      </w:rPr>
    </w:lvl>
    <w:lvl w:ilvl="1">
      <w:start w:val="2"/>
      <w:numFmt w:val="decimal"/>
      <w:lvlText w:val="%1.%2"/>
      <w:lvlJc w:val="left"/>
      <w:pPr>
        <w:ind w:left="1066" w:hanging="666"/>
        <w:jc w:val="left"/>
      </w:pPr>
      <w:rPr>
        <w:rFonts w:hint="default" w:ascii="Garamond" w:hAnsi="Garamond" w:eastAsia="Garamond" w:cs="Garamond"/>
        <w:b/>
        <w:bCs/>
        <w:spacing w:val="0"/>
        <w:w w:val="102"/>
        <w:sz w:val="22"/>
        <w:szCs w:val="22"/>
      </w:rPr>
    </w:lvl>
    <w:lvl w:ilvl="2">
      <w:start w:val="1"/>
      <w:numFmt w:val="decimal"/>
      <w:lvlText w:val="%1.%2.%3"/>
      <w:lvlJc w:val="left"/>
      <w:pPr>
        <w:ind w:left="1067" w:hanging="667"/>
        <w:jc w:val="left"/>
      </w:pPr>
      <w:rPr>
        <w:rFonts w:hint="default" w:ascii="Garamond" w:hAnsi="Garamond" w:eastAsia="Garamond" w:cs="Garamond"/>
        <w:b/>
        <w:bCs/>
        <w:i/>
        <w:spacing w:val="-1"/>
        <w:w w:val="94"/>
        <w:sz w:val="24"/>
        <w:szCs w:val="24"/>
      </w:rPr>
    </w:lvl>
    <w:lvl w:ilvl="3">
      <w:start w:val="1"/>
      <w:numFmt w:val="lowerRoman"/>
      <w:lvlText w:val="(%4)"/>
      <w:lvlJc w:val="left"/>
      <w:pPr>
        <w:ind w:left="1612" w:hanging="678"/>
        <w:jc w:val="left"/>
      </w:pPr>
      <w:rPr>
        <w:rFonts w:hint="default" w:ascii="Garamond" w:hAnsi="Garamond" w:eastAsia="Garamond" w:cs="Garamond"/>
        <w:i/>
        <w:spacing w:val="-1"/>
        <w:w w:val="102"/>
        <w:sz w:val="22"/>
        <w:szCs w:val="22"/>
      </w:rPr>
    </w:lvl>
    <w:lvl w:ilvl="4">
      <w:start w:val="0"/>
      <w:numFmt w:val="bullet"/>
      <w:lvlText w:val="•"/>
      <w:lvlJc w:val="left"/>
      <w:pPr>
        <w:ind w:left="4186" w:hanging="678"/>
      </w:pPr>
      <w:rPr>
        <w:rFonts w:hint="default"/>
      </w:rPr>
    </w:lvl>
    <w:lvl w:ilvl="5">
      <w:start w:val="0"/>
      <w:numFmt w:val="bullet"/>
      <w:lvlText w:val="•"/>
      <w:lvlJc w:val="left"/>
      <w:pPr>
        <w:ind w:left="5042" w:hanging="678"/>
      </w:pPr>
      <w:rPr>
        <w:rFonts w:hint="default"/>
      </w:rPr>
    </w:lvl>
    <w:lvl w:ilvl="6">
      <w:start w:val="0"/>
      <w:numFmt w:val="bullet"/>
      <w:lvlText w:val="•"/>
      <w:lvlJc w:val="left"/>
      <w:pPr>
        <w:ind w:left="5897" w:hanging="678"/>
      </w:pPr>
      <w:rPr>
        <w:rFonts w:hint="default"/>
      </w:rPr>
    </w:lvl>
    <w:lvl w:ilvl="7">
      <w:start w:val="0"/>
      <w:numFmt w:val="bullet"/>
      <w:lvlText w:val="•"/>
      <w:lvlJc w:val="left"/>
      <w:pPr>
        <w:ind w:left="6753" w:hanging="678"/>
      </w:pPr>
      <w:rPr>
        <w:rFonts w:hint="default"/>
      </w:rPr>
    </w:lvl>
    <w:lvl w:ilvl="8">
      <w:start w:val="0"/>
      <w:numFmt w:val="bullet"/>
      <w:lvlText w:val="•"/>
      <w:lvlJc w:val="left"/>
      <w:pPr>
        <w:ind w:left="7608" w:hanging="678"/>
      </w:pPr>
      <w:rPr>
        <w:rFonts w:hint="default"/>
      </w:rPr>
    </w:lvl>
  </w:abstractNum>
  <w:abstractNum w:abstractNumId="11">
    <w:multiLevelType w:val="hybridMultilevel"/>
    <w:lvl w:ilvl="0">
      <w:start w:val="1"/>
      <w:numFmt w:val="lowerLetter"/>
      <w:lvlText w:val="%1)"/>
      <w:lvlJc w:val="left"/>
      <w:pPr>
        <w:ind w:left="400" w:hanging="262"/>
        <w:jc w:val="left"/>
      </w:pPr>
      <w:rPr>
        <w:rFonts w:hint="default" w:ascii="Garamond" w:hAnsi="Garamond" w:eastAsia="Garamond" w:cs="Garamond"/>
        <w:b/>
        <w:bCs/>
        <w:spacing w:val="-1"/>
        <w:w w:val="102"/>
        <w:sz w:val="22"/>
        <w:szCs w:val="22"/>
      </w:rPr>
    </w:lvl>
    <w:lvl w:ilvl="1">
      <w:start w:val="1"/>
      <w:numFmt w:val="lowerRoman"/>
      <w:lvlText w:val="(%2)"/>
      <w:lvlJc w:val="left"/>
      <w:pPr>
        <w:ind w:left="1067" w:hanging="400"/>
        <w:jc w:val="left"/>
      </w:pPr>
      <w:rPr>
        <w:rFonts w:hint="default" w:ascii="Garamond" w:hAnsi="Garamond" w:eastAsia="Garamond" w:cs="Garamond"/>
        <w:b/>
        <w:bCs/>
        <w:w w:val="102"/>
        <w:sz w:val="22"/>
        <w:szCs w:val="22"/>
      </w:rPr>
    </w:lvl>
    <w:lvl w:ilvl="2">
      <w:start w:val="0"/>
      <w:numFmt w:val="bullet"/>
      <w:lvlText w:val="•"/>
      <w:lvlJc w:val="left"/>
      <w:pPr>
        <w:ind w:left="1977" w:hanging="400"/>
      </w:pPr>
      <w:rPr>
        <w:rFonts w:hint="default"/>
      </w:rPr>
    </w:lvl>
    <w:lvl w:ilvl="3">
      <w:start w:val="0"/>
      <w:numFmt w:val="bullet"/>
      <w:lvlText w:val="•"/>
      <w:lvlJc w:val="left"/>
      <w:pPr>
        <w:ind w:left="2895" w:hanging="400"/>
      </w:pPr>
      <w:rPr>
        <w:rFonts w:hint="default"/>
      </w:rPr>
    </w:lvl>
    <w:lvl w:ilvl="4">
      <w:start w:val="0"/>
      <w:numFmt w:val="bullet"/>
      <w:lvlText w:val="•"/>
      <w:lvlJc w:val="left"/>
      <w:pPr>
        <w:ind w:left="3813" w:hanging="400"/>
      </w:pPr>
      <w:rPr>
        <w:rFonts w:hint="default"/>
      </w:rPr>
    </w:lvl>
    <w:lvl w:ilvl="5">
      <w:start w:val="0"/>
      <w:numFmt w:val="bullet"/>
      <w:lvlText w:val="•"/>
      <w:lvlJc w:val="left"/>
      <w:pPr>
        <w:ind w:left="4731" w:hanging="400"/>
      </w:pPr>
      <w:rPr>
        <w:rFonts w:hint="default"/>
      </w:rPr>
    </w:lvl>
    <w:lvl w:ilvl="6">
      <w:start w:val="0"/>
      <w:numFmt w:val="bullet"/>
      <w:lvlText w:val="•"/>
      <w:lvlJc w:val="left"/>
      <w:pPr>
        <w:ind w:left="5648" w:hanging="400"/>
      </w:pPr>
      <w:rPr>
        <w:rFonts w:hint="default"/>
      </w:rPr>
    </w:lvl>
    <w:lvl w:ilvl="7">
      <w:start w:val="0"/>
      <w:numFmt w:val="bullet"/>
      <w:lvlText w:val="•"/>
      <w:lvlJc w:val="left"/>
      <w:pPr>
        <w:ind w:left="6566" w:hanging="400"/>
      </w:pPr>
      <w:rPr>
        <w:rFonts w:hint="default"/>
      </w:rPr>
    </w:lvl>
    <w:lvl w:ilvl="8">
      <w:start w:val="0"/>
      <w:numFmt w:val="bullet"/>
      <w:lvlText w:val="•"/>
      <w:lvlJc w:val="left"/>
      <w:pPr>
        <w:ind w:left="7484" w:hanging="400"/>
      </w:pPr>
      <w:rPr>
        <w:rFonts w:hint="default"/>
      </w:rPr>
    </w:lvl>
  </w:abstractNum>
  <w:abstractNum w:abstractNumId="10">
    <w:multiLevelType w:val="hybridMultilevel"/>
    <w:lvl w:ilvl="0">
      <w:start w:val="4"/>
      <w:numFmt w:val="decimal"/>
      <w:lvlText w:val="%1"/>
      <w:lvlJc w:val="left"/>
      <w:pPr>
        <w:ind w:left="1066" w:hanging="666"/>
        <w:jc w:val="left"/>
      </w:pPr>
      <w:rPr>
        <w:rFonts w:hint="default"/>
      </w:rPr>
    </w:lvl>
    <w:lvl w:ilvl="1">
      <w:start w:val="1"/>
      <w:numFmt w:val="decimal"/>
      <w:lvlText w:val="%1.%2"/>
      <w:lvlJc w:val="left"/>
      <w:pPr>
        <w:ind w:left="1066" w:hanging="666"/>
        <w:jc w:val="left"/>
      </w:pPr>
      <w:rPr>
        <w:rFonts w:hint="default" w:ascii="Garamond" w:hAnsi="Garamond" w:eastAsia="Garamond" w:cs="Garamond"/>
        <w:b/>
        <w:bCs/>
        <w:w w:val="102"/>
        <w:sz w:val="22"/>
        <w:szCs w:val="22"/>
      </w:rPr>
    </w:lvl>
    <w:lvl w:ilvl="2">
      <w:start w:val="1"/>
      <w:numFmt w:val="decimal"/>
      <w:lvlText w:val="%1.%2.%3"/>
      <w:lvlJc w:val="left"/>
      <w:pPr>
        <w:ind w:left="1065" w:hanging="666"/>
        <w:jc w:val="left"/>
      </w:pPr>
      <w:rPr>
        <w:rFonts w:hint="default" w:ascii="Garamond" w:hAnsi="Garamond" w:eastAsia="Garamond" w:cs="Garamond"/>
        <w:b/>
        <w:bCs/>
        <w:i/>
        <w:spacing w:val="-2"/>
        <w:w w:val="94"/>
        <w:sz w:val="24"/>
        <w:szCs w:val="24"/>
      </w:rPr>
    </w:lvl>
    <w:lvl w:ilvl="3">
      <w:start w:val="0"/>
      <w:numFmt w:val="bullet"/>
      <w:lvlText w:val="•"/>
      <w:lvlJc w:val="left"/>
      <w:pPr>
        <w:ind w:left="1691" w:hanging="666"/>
      </w:pPr>
      <w:rPr>
        <w:rFonts w:hint="default"/>
      </w:rPr>
    </w:lvl>
    <w:lvl w:ilvl="4">
      <w:start w:val="0"/>
      <w:numFmt w:val="bullet"/>
      <w:lvlText w:val="•"/>
      <w:lvlJc w:val="left"/>
      <w:pPr>
        <w:ind w:left="1901" w:hanging="666"/>
      </w:pPr>
      <w:rPr>
        <w:rFonts w:hint="default"/>
      </w:rPr>
    </w:lvl>
    <w:lvl w:ilvl="5">
      <w:start w:val="0"/>
      <w:numFmt w:val="bullet"/>
      <w:lvlText w:val="•"/>
      <w:lvlJc w:val="left"/>
      <w:pPr>
        <w:ind w:left="2112" w:hanging="666"/>
      </w:pPr>
      <w:rPr>
        <w:rFonts w:hint="default"/>
      </w:rPr>
    </w:lvl>
    <w:lvl w:ilvl="6">
      <w:start w:val="0"/>
      <w:numFmt w:val="bullet"/>
      <w:lvlText w:val="•"/>
      <w:lvlJc w:val="left"/>
      <w:pPr>
        <w:ind w:left="2322" w:hanging="666"/>
      </w:pPr>
      <w:rPr>
        <w:rFonts w:hint="default"/>
      </w:rPr>
    </w:lvl>
    <w:lvl w:ilvl="7">
      <w:start w:val="0"/>
      <w:numFmt w:val="bullet"/>
      <w:lvlText w:val="•"/>
      <w:lvlJc w:val="left"/>
      <w:pPr>
        <w:ind w:left="2533" w:hanging="666"/>
      </w:pPr>
      <w:rPr>
        <w:rFonts w:hint="default"/>
      </w:rPr>
    </w:lvl>
    <w:lvl w:ilvl="8">
      <w:start w:val="0"/>
      <w:numFmt w:val="bullet"/>
      <w:lvlText w:val="•"/>
      <w:lvlJc w:val="left"/>
      <w:pPr>
        <w:ind w:left="2743" w:hanging="666"/>
      </w:pPr>
      <w:rPr>
        <w:rFonts w:hint="default"/>
      </w:rPr>
    </w:lvl>
  </w:abstractNum>
  <w:abstractNum w:abstractNumId="9">
    <w:multiLevelType w:val="hybridMultilevel"/>
    <w:lvl w:ilvl="0">
      <w:start w:val="0"/>
      <w:numFmt w:val="bullet"/>
      <w:lvlText w:val=""/>
      <w:lvlJc w:val="left"/>
      <w:pPr>
        <w:ind w:left="934" w:hanging="401"/>
      </w:pPr>
      <w:rPr>
        <w:rFonts w:hint="default" w:ascii="Symbol" w:hAnsi="Symbol" w:eastAsia="Symbol" w:cs="Symbol"/>
        <w:w w:val="102"/>
        <w:sz w:val="22"/>
        <w:szCs w:val="22"/>
      </w:rPr>
    </w:lvl>
    <w:lvl w:ilvl="1">
      <w:start w:val="0"/>
      <w:numFmt w:val="bullet"/>
      <w:lvlText w:val="•"/>
      <w:lvlJc w:val="left"/>
      <w:pPr>
        <w:ind w:left="1778" w:hanging="401"/>
      </w:pPr>
      <w:rPr>
        <w:rFonts w:hint="default"/>
      </w:rPr>
    </w:lvl>
    <w:lvl w:ilvl="2">
      <w:start w:val="0"/>
      <w:numFmt w:val="bullet"/>
      <w:lvlText w:val="•"/>
      <w:lvlJc w:val="left"/>
      <w:pPr>
        <w:ind w:left="2616" w:hanging="401"/>
      </w:pPr>
      <w:rPr>
        <w:rFonts w:hint="default"/>
      </w:rPr>
    </w:lvl>
    <w:lvl w:ilvl="3">
      <w:start w:val="0"/>
      <w:numFmt w:val="bullet"/>
      <w:lvlText w:val="•"/>
      <w:lvlJc w:val="left"/>
      <w:pPr>
        <w:ind w:left="3454" w:hanging="401"/>
      </w:pPr>
      <w:rPr>
        <w:rFonts w:hint="default"/>
      </w:rPr>
    </w:lvl>
    <w:lvl w:ilvl="4">
      <w:start w:val="0"/>
      <w:numFmt w:val="bullet"/>
      <w:lvlText w:val="•"/>
      <w:lvlJc w:val="left"/>
      <w:pPr>
        <w:ind w:left="4292" w:hanging="401"/>
      </w:pPr>
      <w:rPr>
        <w:rFonts w:hint="default"/>
      </w:rPr>
    </w:lvl>
    <w:lvl w:ilvl="5">
      <w:start w:val="0"/>
      <w:numFmt w:val="bullet"/>
      <w:lvlText w:val="•"/>
      <w:lvlJc w:val="left"/>
      <w:pPr>
        <w:ind w:left="5130" w:hanging="401"/>
      </w:pPr>
      <w:rPr>
        <w:rFonts w:hint="default"/>
      </w:rPr>
    </w:lvl>
    <w:lvl w:ilvl="6">
      <w:start w:val="0"/>
      <w:numFmt w:val="bullet"/>
      <w:lvlText w:val="•"/>
      <w:lvlJc w:val="left"/>
      <w:pPr>
        <w:ind w:left="5968" w:hanging="401"/>
      </w:pPr>
      <w:rPr>
        <w:rFonts w:hint="default"/>
      </w:rPr>
    </w:lvl>
    <w:lvl w:ilvl="7">
      <w:start w:val="0"/>
      <w:numFmt w:val="bullet"/>
      <w:lvlText w:val="•"/>
      <w:lvlJc w:val="left"/>
      <w:pPr>
        <w:ind w:left="6806" w:hanging="401"/>
      </w:pPr>
      <w:rPr>
        <w:rFonts w:hint="default"/>
      </w:rPr>
    </w:lvl>
    <w:lvl w:ilvl="8">
      <w:start w:val="0"/>
      <w:numFmt w:val="bullet"/>
      <w:lvlText w:val="•"/>
      <w:lvlJc w:val="left"/>
      <w:pPr>
        <w:ind w:left="7644" w:hanging="401"/>
      </w:pPr>
      <w:rPr>
        <w:rFonts w:hint="default"/>
      </w:rPr>
    </w:lvl>
  </w:abstractNum>
  <w:abstractNum w:abstractNumId="8">
    <w:multiLevelType w:val="hybridMultilevel"/>
    <w:lvl w:ilvl="0">
      <w:start w:val="0"/>
      <w:numFmt w:val="bullet"/>
      <w:lvlText w:val="-"/>
      <w:lvlJc w:val="left"/>
      <w:pPr>
        <w:ind w:left="602" w:hanging="51"/>
      </w:pPr>
      <w:rPr>
        <w:rFonts w:hint="default" w:ascii="Times New Roman" w:hAnsi="Times New Roman" w:eastAsia="Times New Roman" w:cs="Times New Roman"/>
        <w:i/>
        <w:w w:val="105"/>
        <w:sz w:val="8"/>
        <w:szCs w:val="8"/>
      </w:rPr>
    </w:lvl>
    <w:lvl w:ilvl="1">
      <w:start w:val="0"/>
      <w:numFmt w:val="bullet"/>
      <w:lvlText w:val="•"/>
      <w:lvlJc w:val="left"/>
      <w:pPr>
        <w:ind w:left="1472" w:hanging="51"/>
      </w:pPr>
      <w:rPr>
        <w:rFonts w:hint="default"/>
      </w:rPr>
    </w:lvl>
    <w:lvl w:ilvl="2">
      <w:start w:val="0"/>
      <w:numFmt w:val="bullet"/>
      <w:lvlText w:val="•"/>
      <w:lvlJc w:val="left"/>
      <w:pPr>
        <w:ind w:left="2344" w:hanging="51"/>
      </w:pPr>
      <w:rPr>
        <w:rFonts w:hint="default"/>
      </w:rPr>
    </w:lvl>
    <w:lvl w:ilvl="3">
      <w:start w:val="0"/>
      <w:numFmt w:val="bullet"/>
      <w:lvlText w:val="•"/>
      <w:lvlJc w:val="left"/>
      <w:pPr>
        <w:ind w:left="3216" w:hanging="51"/>
      </w:pPr>
      <w:rPr>
        <w:rFonts w:hint="default"/>
      </w:rPr>
    </w:lvl>
    <w:lvl w:ilvl="4">
      <w:start w:val="0"/>
      <w:numFmt w:val="bullet"/>
      <w:lvlText w:val="•"/>
      <w:lvlJc w:val="left"/>
      <w:pPr>
        <w:ind w:left="4088" w:hanging="51"/>
      </w:pPr>
      <w:rPr>
        <w:rFonts w:hint="default"/>
      </w:rPr>
    </w:lvl>
    <w:lvl w:ilvl="5">
      <w:start w:val="0"/>
      <w:numFmt w:val="bullet"/>
      <w:lvlText w:val="•"/>
      <w:lvlJc w:val="left"/>
      <w:pPr>
        <w:ind w:left="4960" w:hanging="51"/>
      </w:pPr>
      <w:rPr>
        <w:rFonts w:hint="default"/>
      </w:rPr>
    </w:lvl>
    <w:lvl w:ilvl="6">
      <w:start w:val="0"/>
      <w:numFmt w:val="bullet"/>
      <w:lvlText w:val="•"/>
      <w:lvlJc w:val="left"/>
      <w:pPr>
        <w:ind w:left="5832" w:hanging="51"/>
      </w:pPr>
      <w:rPr>
        <w:rFonts w:hint="default"/>
      </w:rPr>
    </w:lvl>
    <w:lvl w:ilvl="7">
      <w:start w:val="0"/>
      <w:numFmt w:val="bullet"/>
      <w:lvlText w:val="•"/>
      <w:lvlJc w:val="left"/>
      <w:pPr>
        <w:ind w:left="6704" w:hanging="51"/>
      </w:pPr>
      <w:rPr>
        <w:rFonts w:hint="default"/>
      </w:rPr>
    </w:lvl>
    <w:lvl w:ilvl="8">
      <w:start w:val="0"/>
      <w:numFmt w:val="bullet"/>
      <w:lvlText w:val="•"/>
      <w:lvlJc w:val="left"/>
      <w:pPr>
        <w:ind w:left="7576" w:hanging="51"/>
      </w:pPr>
      <w:rPr>
        <w:rFonts w:hint="default"/>
      </w:rPr>
    </w:lvl>
  </w:abstractNum>
  <w:abstractNum w:abstractNumId="7">
    <w:multiLevelType w:val="hybridMultilevel"/>
    <w:lvl w:ilvl="0">
      <w:start w:val="3"/>
      <w:numFmt w:val="decimal"/>
      <w:lvlText w:val="%1"/>
      <w:lvlJc w:val="left"/>
      <w:pPr>
        <w:ind w:left="400" w:hanging="666"/>
        <w:jc w:val="left"/>
      </w:pPr>
      <w:rPr>
        <w:rFonts w:hint="default"/>
      </w:rPr>
    </w:lvl>
    <w:lvl w:ilvl="1">
      <w:start w:val="1"/>
      <w:numFmt w:val="decimal"/>
      <w:lvlText w:val="%1.%2"/>
      <w:lvlJc w:val="left"/>
      <w:pPr>
        <w:ind w:left="400" w:hanging="666"/>
        <w:jc w:val="right"/>
      </w:pPr>
      <w:rPr>
        <w:rFonts w:hint="default" w:ascii="Garamond" w:hAnsi="Garamond" w:eastAsia="Garamond" w:cs="Garamond"/>
        <w:b/>
        <w:bCs/>
        <w:w w:val="102"/>
        <w:sz w:val="22"/>
        <w:szCs w:val="22"/>
      </w:rPr>
    </w:lvl>
    <w:lvl w:ilvl="2">
      <w:start w:val="0"/>
      <w:numFmt w:val="bullet"/>
      <w:lvlText w:val="•"/>
      <w:lvlJc w:val="left"/>
      <w:pPr>
        <w:ind w:left="2184" w:hanging="666"/>
      </w:pPr>
      <w:rPr>
        <w:rFonts w:hint="default"/>
      </w:rPr>
    </w:lvl>
    <w:lvl w:ilvl="3">
      <w:start w:val="0"/>
      <w:numFmt w:val="bullet"/>
      <w:lvlText w:val="•"/>
      <w:lvlJc w:val="left"/>
      <w:pPr>
        <w:ind w:left="3076" w:hanging="666"/>
      </w:pPr>
      <w:rPr>
        <w:rFonts w:hint="default"/>
      </w:rPr>
    </w:lvl>
    <w:lvl w:ilvl="4">
      <w:start w:val="0"/>
      <w:numFmt w:val="bullet"/>
      <w:lvlText w:val="•"/>
      <w:lvlJc w:val="left"/>
      <w:pPr>
        <w:ind w:left="3968" w:hanging="666"/>
      </w:pPr>
      <w:rPr>
        <w:rFonts w:hint="default"/>
      </w:rPr>
    </w:lvl>
    <w:lvl w:ilvl="5">
      <w:start w:val="0"/>
      <w:numFmt w:val="bullet"/>
      <w:lvlText w:val="•"/>
      <w:lvlJc w:val="left"/>
      <w:pPr>
        <w:ind w:left="4860" w:hanging="666"/>
      </w:pPr>
      <w:rPr>
        <w:rFonts w:hint="default"/>
      </w:rPr>
    </w:lvl>
    <w:lvl w:ilvl="6">
      <w:start w:val="0"/>
      <w:numFmt w:val="bullet"/>
      <w:lvlText w:val="•"/>
      <w:lvlJc w:val="left"/>
      <w:pPr>
        <w:ind w:left="5752" w:hanging="666"/>
      </w:pPr>
      <w:rPr>
        <w:rFonts w:hint="default"/>
      </w:rPr>
    </w:lvl>
    <w:lvl w:ilvl="7">
      <w:start w:val="0"/>
      <w:numFmt w:val="bullet"/>
      <w:lvlText w:val="•"/>
      <w:lvlJc w:val="left"/>
      <w:pPr>
        <w:ind w:left="6644" w:hanging="666"/>
      </w:pPr>
      <w:rPr>
        <w:rFonts w:hint="default"/>
      </w:rPr>
    </w:lvl>
    <w:lvl w:ilvl="8">
      <w:start w:val="0"/>
      <w:numFmt w:val="bullet"/>
      <w:lvlText w:val="•"/>
      <w:lvlJc w:val="left"/>
      <w:pPr>
        <w:ind w:left="7536" w:hanging="666"/>
      </w:pPr>
      <w:rPr>
        <w:rFonts w:hint="default"/>
      </w:rPr>
    </w:lvl>
  </w:abstractNum>
  <w:abstractNum w:abstractNumId="6">
    <w:multiLevelType w:val="hybridMultilevel"/>
    <w:lvl w:ilvl="0">
      <w:start w:val="0"/>
      <w:numFmt w:val="bullet"/>
      <w:lvlText w:val="-"/>
      <w:lvlJc w:val="left"/>
      <w:pPr>
        <w:ind w:left="1272" w:hanging="339"/>
      </w:pPr>
      <w:rPr>
        <w:rFonts w:hint="default" w:ascii="Arial" w:hAnsi="Arial" w:eastAsia="Arial" w:cs="Arial"/>
        <w:w w:val="102"/>
        <w:sz w:val="22"/>
        <w:szCs w:val="22"/>
      </w:rPr>
    </w:lvl>
    <w:lvl w:ilvl="1">
      <w:start w:val="0"/>
      <w:numFmt w:val="bullet"/>
      <w:lvlText w:val="•"/>
      <w:lvlJc w:val="left"/>
      <w:pPr>
        <w:ind w:left="2084" w:hanging="339"/>
      </w:pPr>
      <w:rPr>
        <w:rFonts w:hint="default"/>
      </w:rPr>
    </w:lvl>
    <w:lvl w:ilvl="2">
      <w:start w:val="0"/>
      <w:numFmt w:val="bullet"/>
      <w:lvlText w:val="•"/>
      <w:lvlJc w:val="left"/>
      <w:pPr>
        <w:ind w:left="2888" w:hanging="339"/>
      </w:pPr>
      <w:rPr>
        <w:rFonts w:hint="default"/>
      </w:rPr>
    </w:lvl>
    <w:lvl w:ilvl="3">
      <w:start w:val="0"/>
      <w:numFmt w:val="bullet"/>
      <w:lvlText w:val="•"/>
      <w:lvlJc w:val="left"/>
      <w:pPr>
        <w:ind w:left="3692" w:hanging="339"/>
      </w:pPr>
      <w:rPr>
        <w:rFonts w:hint="default"/>
      </w:rPr>
    </w:lvl>
    <w:lvl w:ilvl="4">
      <w:start w:val="0"/>
      <w:numFmt w:val="bullet"/>
      <w:lvlText w:val="•"/>
      <w:lvlJc w:val="left"/>
      <w:pPr>
        <w:ind w:left="4496" w:hanging="339"/>
      </w:pPr>
      <w:rPr>
        <w:rFonts w:hint="default"/>
      </w:rPr>
    </w:lvl>
    <w:lvl w:ilvl="5">
      <w:start w:val="0"/>
      <w:numFmt w:val="bullet"/>
      <w:lvlText w:val="•"/>
      <w:lvlJc w:val="left"/>
      <w:pPr>
        <w:ind w:left="5300" w:hanging="339"/>
      </w:pPr>
      <w:rPr>
        <w:rFonts w:hint="default"/>
      </w:rPr>
    </w:lvl>
    <w:lvl w:ilvl="6">
      <w:start w:val="0"/>
      <w:numFmt w:val="bullet"/>
      <w:lvlText w:val="•"/>
      <w:lvlJc w:val="left"/>
      <w:pPr>
        <w:ind w:left="6104" w:hanging="339"/>
      </w:pPr>
      <w:rPr>
        <w:rFonts w:hint="default"/>
      </w:rPr>
    </w:lvl>
    <w:lvl w:ilvl="7">
      <w:start w:val="0"/>
      <w:numFmt w:val="bullet"/>
      <w:lvlText w:val="•"/>
      <w:lvlJc w:val="left"/>
      <w:pPr>
        <w:ind w:left="6908" w:hanging="339"/>
      </w:pPr>
      <w:rPr>
        <w:rFonts w:hint="default"/>
      </w:rPr>
    </w:lvl>
    <w:lvl w:ilvl="8">
      <w:start w:val="0"/>
      <w:numFmt w:val="bullet"/>
      <w:lvlText w:val="•"/>
      <w:lvlJc w:val="left"/>
      <w:pPr>
        <w:ind w:left="7712" w:hanging="339"/>
      </w:pPr>
      <w:rPr>
        <w:rFonts w:hint="default"/>
      </w:rPr>
    </w:lvl>
  </w:abstractNum>
  <w:abstractNum w:abstractNumId="5">
    <w:multiLevelType w:val="hybridMultilevel"/>
    <w:lvl w:ilvl="0">
      <w:start w:val="2"/>
      <w:numFmt w:val="lowerLetter"/>
      <w:lvlText w:val="%1)"/>
      <w:lvlJc w:val="left"/>
      <w:pPr>
        <w:ind w:left="400" w:hanging="236"/>
        <w:jc w:val="left"/>
      </w:pPr>
      <w:rPr>
        <w:rFonts w:hint="default" w:ascii="Garamond" w:hAnsi="Garamond" w:eastAsia="Garamond" w:cs="Garamond"/>
        <w:i/>
        <w:spacing w:val="-1"/>
        <w:w w:val="102"/>
        <w:sz w:val="22"/>
        <w:szCs w:val="22"/>
      </w:rPr>
    </w:lvl>
    <w:lvl w:ilvl="1">
      <w:start w:val="0"/>
      <w:numFmt w:val="bullet"/>
      <w:lvlText w:val="•"/>
      <w:lvlJc w:val="left"/>
      <w:pPr>
        <w:ind w:left="1292" w:hanging="236"/>
      </w:pPr>
      <w:rPr>
        <w:rFonts w:hint="default"/>
      </w:rPr>
    </w:lvl>
    <w:lvl w:ilvl="2">
      <w:start w:val="0"/>
      <w:numFmt w:val="bullet"/>
      <w:lvlText w:val="•"/>
      <w:lvlJc w:val="left"/>
      <w:pPr>
        <w:ind w:left="2184" w:hanging="236"/>
      </w:pPr>
      <w:rPr>
        <w:rFonts w:hint="default"/>
      </w:rPr>
    </w:lvl>
    <w:lvl w:ilvl="3">
      <w:start w:val="0"/>
      <w:numFmt w:val="bullet"/>
      <w:lvlText w:val="•"/>
      <w:lvlJc w:val="left"/>
      <w:pPr>
        <w:ind w:left="3076" w:hanging="236"/>
      </w:pPr>
      <w:rPr>
        <w:rFonts w:hint="default"/>
      </w:rPr>
    </w:lvl>
    <w:lvl w:ilvl="4">
      <w:start w:val="0"/>
      <w:numFmt w:val="bullet"/>
      <w:lvlText w:val="•"/>
      <w:lvlJc w:val="left"/>
      <w:pPr>
        <w:ind w:left="3968" w:hanging="236"/>
      </w:pPr>
      <w:rPr>
        <w:rFonts w:hint="default"/>
      </w:rPr>
    </w:lvl>
    <w:lvl w:ilvl="5">
      <w:start w:val="0"/>
      <w:numFmt w:val="bullet"/>
      <w:lvlText w:val="•"/>
      <w:lvlJc w:val="left"/>
      <w:pPr>
        <w:ind w:left="4860" w:hanging="236"/>
      </w:pPr>
      <w:rPr>
        <w:rFonts w:hint="default"/>
      </w:rPr>
    </w:lvl>
    <w:lvl w:ilvl="6">
      <w:start w:val="0"/>
      <w:numFmt w:val="bullet"/>
      <w:lvlText w:val="•"/>
      <w:lvlJc w:val="left"/>
      <w:pPr>
        <w:ind w:left="5752" w:hanging="236"/>
      </w:pPr>
      <w:rPr>
        <w:rFonts w:hint="default"/>
      </w:rPr>
    </w:lvl>
    <w:lvl w:ilvl="7">
      <w:start w:val="0"/>
      <w:numFmt w:val="bullet"/>
      <w:lvlText w:val="•"/>
      <w:lvlJc w:val="left"/>
      <w:pPr>
        <w:ind w:left="6644" w:hanging="236"/>
      </w:pPr>
      <w:rPr>
        <w:rFonts w:hint="default"/>
      </w:rPr>
    </w:lvl>
    <w:lvl w:ilvl="8">
      <w:start w:val="0"/>
      <w:numFmt w:val="bullet"/>
      <w:lvlText w:val="•"/>
      <w:lvlJc w:val="left"/>
      <w:pPr>
        <w:ind w:left="7536" w:hanging="236"/>
      </w:pPr>
      <w:rPr>
        <w:rFonts w:hint="default"/>
      </w:rPr>
    </w:lvl>
  </w:abstractNum>
  <w:abstractNum w:abstractNumId="4">
    <w:multiLevelType w:val="hybridMultilevel"/>
    <w:lvl w:ilvl="0">
      <w:start w:val="1"/>
      <w:numFmt w:val="lowerRoman"/>
      <w:lvlText w:val="(%1)"/>
      <w:lvlJc w:val="left"/>
      <w:pPr>
        <w:ind w:left="1346" w:hanging="563"/>
        <w:jc w:val="right"/>
      </w:pPr>
      <w:rPr>
        <w:rFonts w:hint="default" w:ascii="Garamond" w:hAnsi="Garamond" w:eastAsia="Garamond" w:cs="Garamond"/>
        <w:b/>
        <w:bCs/>
        <w:i/>
        <w:w w:val="94"/>
        <w:sz w:val="24"/>
        <w:szCs w:val="24"/>
      </w:rPr>
    </w:lvl>
    <w:lvl w:ilvl="1">
      <w:start w:val="0"/>
      <w:numFmt w:val="bullet"/>
      <w:lvlText w:val="•"/>
      <w:lvlJc w:val="left"/>
      <w:pPr>
        <w:ind w:left="2138" w:hanging="563"/>
      </w:pPr>
      <w:rPr>
        <w:rFonts w:hint="default"/>
      </w:rPr>
    </w:lvl>
    <w:lvl w:ilvl="2">
      <w:start w:val="0"/>
      <w:numFmt w:val="bullet"/>
      <w:lvlText w:val="•"/>
      <w:lvlJc w:val="left"/>
      <w:pPr>
        <w:ind w:left="2936" w:hanging="563"/>
      </w:pPr>
      <w:rPr>
        <w:rFonts w:hint="default"/>
      </w:rPr>
    </w:lvl>
    <w:lvl w:ilvl="3">
      <w:start w:val="0"/>
      <w:numFmt w:val="bullet"/>
      <w:lvlText w:val="•"/>
      <w:lvlJc w:val="left"/>
      <w:pPr>
        <w:ind w:left="3734" w:hanging="563"/>
      </w:pPr>
      <w:rPr>
        <w:rFonts w:hint="default"/>
      </w:rPr>
    </w:lvl>
    <w:lvl w:ilvl="4">
      <w:start w:val="0"/>
      <w:numFmt w:val="bullet"/>
      <w:lvlText w:val="•"/>
      <w:lvlJc w:val="left"/>
      <w:pPr>
        <w:ind w:left="4532" w:hanging="563"/>
      </w:pPr>
      <w:rPr>
        <w:rFonts w:hint="default"/>
      </w:rPr>
    </w:lvl>
    <w:lvl w:ilvl="5">
      <w:start w:val="0"/>
      <w:numFmt w:val="bullet"/>
      <w:lvlText w:val="•"/>
      <w:lvlJc w:val="left"/>
      <w:pPr>
        <w:ind w:left="5330" w:hanging="563"/>
      </w:pPr>
      <w:rPr>
        <w:rFonts w:hint="default"/>
      </w:rPr>
    </w:lvl>
    <w:lvl w:ilvl="6">
      <w:start w:val="0"/>
      <w:numFmt w:val="bullet"/>
      <w:lvlText w:val="•"/>
      <w:lvlJc w:val="left"/>
      <w:pPr>
        <w:ind w:left="6128" w:hanging="563"/>
      </w:pPr>
      <w:rPr>
        <w:rFonts w:hint="default"/>
      </w:rPr>
    </w:lvl>
    <w:lvl w:ilvl="7">
      <w:start w:val="0"/>
      <w:numFmt w:val="bullet"/>
      <w:lvlText w:val="•"/>
      <w:lvlJc w:val="left"/>
      <w:pPr>
        <w:ind w:left="6926" w:hanging="563"/>
      </w:pPr>
      <w:rPr>
        <w:rFonts w:hint="default"/>
      </w:rPr>
    </w:lvl>
    <w:lvl w:ilvl="8">
      <w:start w:val="0"/>
      <w:numFmt w:val="bullet"/>
      <w:lvlText w:val="•"/>
      <w:lvlJc w:val="left"/>
      <w:pPr>
        <w:ind w:left="7724" w:hanging="563"/>
      </w:pPr>
      <w:rPr>
        <w:rFonts w:hint="default"/>
      </w:rPr>
    </w:lvl>
  </w:abstractNum>
  <w:abstractNum w:abstractNumId="2">
    <w:multiLevelType w:val="hybridMultilevel"/>
    <w:lvl w:ilvl="0">
      <w:start w:val="8"/>
      <w:numFmt w:val="decimal"/>
      <w:lvlText w:val="%1"/>
      <w:lvlJc w:val="left"/>
      <w:pPr>
        <w:ind w:left="1067" w:hanging="668"/>
        <w:jc w:val="left"/>
      </w:pPr>
      <w:rPr>
        <w:rFonts w:hint="default"/>
      </w:rPr>
    </w:lvl>
    <w:lvl w:ilvl="1">
      <w:start w:val="1"/>
      <w:numFmt w:val="decimal"/>
      <w:lvlText w:val="%1.%2"/>
      <w:lvlJc w:val="left"/>
      <w:pPr>
        <w:ind w:left="1067" w:hanging="668"/>
        <w:jc w:val="left"/>
      </w:pPr>
      <w:rPr>
        <w:rFonts w:hint="default" w:ascii="Garamond" w:hAnsi="Garamond" w:eastAsia="Garamond" w:cs="Garamond"/>
        <w:spacing w:val="-1"/>
        <w:w w:val="102"/>
        <w:sz w:val="22"/>
        <w:szCs w:val="22"/>
      </w:rPr>
    </w:lvl>
    <w:lvl w:ilvl="2">
      <w:start w:val="1"/>
      <w:numFmt w:val="decimal"/>
      <w:lvlText w:val="%3."/>
      <w:lvlJc w:val="left"/>
      <w:pPr>
        <w:ind w:left="400" w:hanging="212"/>
        <w:jc w:val="left"/>
      </w:pPr>
      <w:rPr>
        <w:rFonts w:hint="default" w:ascii="Garamond" w:hAnsi="Garamond" w:eastAsia="Garamond" w:cs="Garamond"/>
        <w:b/>
        <w:bCs/>
        <w:spacing w:val="0"/>
        <w:w w:val="102"/>
        <w:sz w:val="22"/>
        <w:szCs w:val="22"/>
      </w:rPr>
    </w:lvl>
    <w:lvl w:ilvl="3">
      <w:start w:val="1"/>
      <w:numFmt w:val="lowerLetter"/>
      <w:lvlText w:val="%4."/>
      <w:lvlJc w:val="left"/>
      <w:pPr>
        <w:ind w:left="1078" w:hanging="400"/>
        <w:jc w:val="left"/>
      </w:pPr>
      <w:rPr>
        <w:rFonts w:hint="default" w:ascii="Garamond" w:hAnsi="Garamond" w:eastAsia="Garamond" w:cs="Garamond"/>
        <w:b/>
        <w:bCs/>
        <w:spacing w:val="-1"/>
        <w:w w:val="102"/>
        <w:sz w:val="22"/>
        <w:szCs w:val="22"/>
      </w:rPr>
    </w:lvl>
    <w:lvl w:ilvl="4">
      <w:start w:val="0"/>
      <w:numFmt w:val="bullet"/>
      <w:lvlText w:val=""/>
      <w:lvlJc w:val="left"/>
      <w:pPr>
        <w:ind w:left="1467" w:hanging="400"/>
      </w:pPr>
      <w:rPr>
        <w:rFonts w:hint="default" w:ascii="Symbol" w:hAnsi="Symbol" w:eastAsia="Symbol" w:cs="Symbol"/>
        <w:w w:val="102"/>
        <w:sz w:val="22"/>
        <w:szCs w:val="22"/>
      </w:rPr>
    </w:lvl>
    <w:lvl w:ilvl="5">
      <w:start w:val="0"/>
      <w:numFmt w:val="bullet"/>
      <w:lvlText w:val="•"/>
      <w:lvlJc w:val="left"/>
      <w:pPr>
        <w:ind w:left="3705" w:hanging="400"/>
      </w:pPr>
      <w:rPr>
        <w:rFonts w:hint="default"/>
      </w:rPr>
    </w:lvl>
    <w:lvl w:ilvl="6">
      <w:start w:val="0"/>
      <w:numFmt w:val="bullet"/>
      <w:lvlText w:val="•"/>
      <w:lvlJc w:val="left"/>
      <w:pPr>
        <w:ind w:left="4828" w:hanging="400"/>
      </w:pPr>
      <w:rPr>
        <w:rFonts w:hint="default"/>
      </w:rPr>
    </w:lvl>
    <w:lvl w:ilvl="7">
      <w:start w:val="0"/>
      <w:numFmt w:val="bullet"/>
      <w:lvlText w:val="•"/>
      <w:lvlJc w:val="left"/>
      <w:pPr>
        <w:ind w:left="5951" w:hanging="400"/>
      </w:pPr>
      <w:rPr>
        <w:rFonts w:hint="default"/>
      </w:rPr>
    </w:lvl>
    <w:lvl w:ilvl="8">
      <w:start w:val="0"/>
      <w:numFmt w:val="bullet"/>
      <w:lvlText w:val="•"/>
      <w:lvlJc w:val="left"/>
      <w:pPr>
        <w:ind w:left="7074" w:hanging="400"/>
      </w:pPr>
      <w:rPr>
        <w:rFonts w:hint="default"/>
      </w:rPr>
    </w:lvl>
  </w:abstractNum>
  <w:abstractNum w:abstractNumId="1">
    <w:multiLevelType w:val="hybridMultilevel"/>
    <w:lvl w:ilvl="0">
      <w:start w:val="4"/>
      <w:numFmt w:val="decimal"/>
      <w:lvlText w:val="%1"/>
      <w:lvlJc w:val="left"/>
      <w:pPr>
        <w:ind w:left="1067" w:hanging="668"/>
        <w:jc w:val="left"/>
      </w:pPr>
      <w:rPr>
        <w:rFonts w:hint="default"/>
      </w:rPr>
    </w:lvl>
    <w:lvl w:ilvl="1">
      <w:start w:val="1"/>
      <w:numFmt w:val="decimal"/>
      <w:lvlText w:val="%1.%2"/>
      <w:lvlJc w:val="left"/>
      <w:pPr>
        <w:ind w:left="1067" w:hanging="668"/>
        <w:jc w:val="left"/>
      </w:pPr>
      <w:rPr>
        <w:rFonts w:hint="default" w:ascii="Garamond" w:hAnsi="Garamond" w:eastAsia="Garamond" w:cs="Garamond"/>
        <w:spacing w:val="-1"/>
        <w:w w:val="102"/>
        <w:sz w:val="22"/>
        <w:szCs w:val="22"/>
      </w:rPr>
    </w:lvl>
    <w:lvl w:ilvl="2">
      <w:start w:val="1"/>
      <w:numFmt w:val="decimal"/>
      <w:lvlText w:val="%1.%2.%3"/>
      <w:lvlJc w:val="left"/>
      <w:pPr>
        <w:ind w:left="1067" w:hanging="668"/>
        <w:jc w:val="left"/>
      </w:pPr>
      <w:rPr>
        <w:rFonts w:hint="default" w:ascii="Garamond" w:hAnsi="Garamond" w:eastAsia="Garamond" w:cs="Garamond"/>
        <w:spacing w:val="-1"/>
        <w:w w:val="102"/>
        <w:sz w:val="22"/>
        <w:szCs w:val="22"/>
      </w:rPr>
    </w:lvl>
    <w:lvl w:ilvl="3">
      <w:start w:val="0"/>
      <w:numFmt w:val="bullet"/>
      <w:lvlText w:val="•"/>
      <w:lvlJc w:val="left"/>
      <w:pPr>
        <w:ind w:left="3538" w:hanging="668"/>
      </w:pPr>
      <w:rPr>
        <w:rFonts w:hint="default"/>
      </w:rPr>
    </w:lvl>
    <w:lvl w:ilvl="4">
      <w:start w:val="0"/>
      <w:numFmt w:val="bullet"/>
      <w:lvlText w:val="•"/>
      <w:lvlJc w:val="left"/>
      <w:pPr>
        <w:ind w:left="4364" w:hanging="668"/>
      </w:pPr>
      <w:rPr>
        <w:rFonts w:hint="default"/>
      </w:rPr>
    </w:lvl>
    <w:lvl w:ilvl="5">
      <w:start w:val="0"/>
      <w:numFmt w:val="bullet"/>
      <w:lvlText w:val="•"/>
      <w:lvlJc w:val="left"/>
      <w:pPr>
        <w:ind w:left="5190" w:hanging="668"/>
      </w:pPr>
      <w:rPr>
        <w:rFonts w:hint="default"/>
      </w:rPr>
    </w:lvl>
    <w:lvl w:ilvl="6">
      <w:start w:val="0"/>
      <w:numFmt w:val="bullet"/>
      <w:lvlText w:val="•"/>
      <w:lvlJc w:val="left"/>
      <w:pPr>
        <w:ind w:left="6016" w:hanging="668"/>
      </w:pPr>
      <w:rPr>
        <w:rFonts w:hint="default"/>
      </w:rPr>
    </w:lvl>
    <w:lvl w:ilvl="7">
      <w:start w:val="0"/>
      <w:numFmt w:val="bullet"/>
      <w:lvlText w:val="•"/>
      <w:lvlJc w:val="left"/>
      <w:pPr>
        <w:ind w:left="6842" w:hanging="668"/>
      </w:pPr>
      <w:rPr>
        <w:rFonts w:hint="default"/>
      </w:rPr>
    </w:lvl>
    <w:lvl w:ilvl="8">
      <w:start w:val="0"/>
      <w:numFmt w:val="bullet"/>
      <w:lvlText w:val="•"/>
      <w:lvlJc w:val="left"/>
      <w:pPr>
        <w:ind w:left="7668" w:hanging="668"/>
      </w:pPr>
      <w:rPr>
        <w:rFonts w:hint="default"/>
      </w:rPr>
    </w:lvl>
  </w:abstractNum>
  <w:abstractNum w:abstractNumId="0">
    <w:multiLevelType w:val="hybridMultilevel"/>
    <w:lvl w:ilvl="0">
      <w:start w:val="3"/>
      <w:numFmt w:val="decimal"/>
      <w:lvlText w:val="%1"/>
      <w:lvlJc w:val="left"/>
      <w:pPr>
        <w:ind w:left="1066" w:hanging="667"/>
        <w:jc w:val="left"/>
      </w:pPr>
      <w:rPr>
        <w:rFonts w:hint="default"/>
      </w:rPr>
    </w:lvl>
    <w:lvl w:ilvl="1">
      <w:start w:val="1"/>
      <w:numFmt w:val="decimal"/>
      <w:lvlText w:val="%1.%2"/>
      <w:lvlJc w:val="left"/>
      <w:pPr>
        <w:ind w:left="1066" w:hanging="667"/>
        <w:jc w:val="left"/>
      </w:pPr>
      <w:rPr>
        <w:rFonts w:hint="default" w:ascii="Garamond" w:hAnsi="Garamond" w:eastAsia="Garamond" w:cs="Garamond"/>
        <w:w w:val="102"/>
        <w:sz w:val="22"/>
        <w:szCs w:val="22"/>
      </w:rPr>
    </w:lvl>
    <w:lvl w:ilvl="2">
      <w:start w:val="0"/>
      <w:numFmt w:val="bullet"/>
      <w:lvlText w:val="•"/>
      <w:lvlJc w:val="left"/>
      <w:pPr>
        <w:ind w:left="2712" w:hanging="667"/>
      </w:pPr>
      <w:rPr>
        <w:rFonts w:hint="default"/>
      </w:rPr>
    </w:lvl>
    <w:lvl w:ilvl="3">
      <w:start w:val="0"/>
      <w:numFmt w:val="bullet"/>
      <w:lvlText w:val="•"/>
      <w:lvlJc w:val="left"/>
      <w:pPr>
        <w:ind w:left="3538" w:hanging="667"/>
      </w:pPr>
      <w:rPr>
        <w:rFonts w:hint="default"/>
      </w:rPr>
    </w:lvl>
    <w:lvl w:ilvl="4">
      <w:start w:val="0"/>
      <w:numFmt w:val="bullet"/>
      <w:lvlText w:val="•"/>
      <w:lvlJc w:val="left"/>
      <w:pPr>
        <w:ind w:left="4364" w:hanging="667"/>
      </w:pPr>
      <w:rPr>
        <w:rFonts w:hint="default"/>
      </w:rPr>
    </w:lvl>
    <w:lvl w:ilvl="5">
      <w:start w:val="0"/>
      <w:numFmt w:val="bullet"/>
      <w:lvlText w:val="•"/>
      <w:lvlJc w:val="left"/>
      <w:pPr>
        <w:ind w:left="5190" w:hanging="667"/>
      </w:pPr>
      <w:rPr>
        <w:rFonts w:hint="default"/>
      </w:rPr>
    </w:lvl>
    <w:lvl w:ilvl="6">
      <w:start w:val="0"/>
      <w:numFmt w:val="bullet"/>
      <w:lvlText w:val="•"/>
      <w:lvlJc w:val="left"/>
      <w:pPr>
        <w:ind w:left="6016" w:hanging="667"/>
      </w:pPr>
      <w:rPr>
        <w:rFonts w:hint="default"/>
      </w:rPr>
    </w:lvl>
    <w:lvl w:ilvl="7">
      <w:start w:val="0"/>
      <w:numFmt w:val="bullet"/>
      <w:lvlText w:val="•"/>
      <w:lvlJc w:val="left"/>
      <w:pPr>
        <w:ind w:left="6842" w:hanging="667"/>
      </w:pPr>
      <w:rPr>
        <w:rFonts w:hint="default"/>
      </w:rPr>
    </w:lvl>
    <w:lvl w:ilvl="8">
      <w:start w:val="0"/>
      <w:numFmt w:val="bullet"/>
      <w:lvlText w:val="•"/>
      <w:lvlJc w:val="left"/>
      <w:pPr>
        <w:ind w:left="7668" w:hanging="667"/>
      </w:pPr>
      <w:rPr>
        <w:rFonts w:hint="default"/>
      </w:rPr>
    </w:lvl>
  </w:abstractNum>
  <w:num w:numId="36">
    <w:abstractNumId w:val="35"/>
  </w:num>
  <w:num w:numId="29">
    <w:abstractNumId w:val="28"/>
  </w:num>
  <w:num w:numId="4">
    <w:abstractNumId w:val="3"/>
  </w:num>
  <w:num w:numId="38">
    <w:abstractNumId w:val="37"/>
  </w:num>
  <w:num w:numId="37">
    <w:abstractNumId w:val="36"/>
  </w:num>
  <w:num w:numId="35">
    <w:abstractNumId w:val="34"/>
  </w:num>
  <w:num w:numId="34">
    <w:abstractNumId w:val="33"/>
  </w:num>
  <w:num w:numId="33">
    <w:abstractNumId w:val="32"/>
  </w:num>
  <w:num w:numId="32">
    <w:abstractNumId w:val="31"/>
  </w:num>
  <w:num w:numId="31">
    <w:abstractNumId w:val="30"/>
  </w:num>
  <w:num w:numId="30">
    <w:abstractNumId w:val="29"/>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Garamond" w:hAnsi="Garamond" w:eastAsia="Garamond" w:cs="Garamond"/>
    </w:rPr>
  </w:style>
  <w:style w:styleId="TOC1" w:type="paragraph">
    <w:name w:val="TOC 1"/>
    <w:basedOn w:val="Normal"/>
    <w:uiPriority w:val="1"/>
    <w:qFormat/>
    <w:pPr>
      <w:spacing w:before="119"/>
      <w:ind w:left="400"/>
    </w:pPr>
    <w:rPr>
      <w:rFonts w:ascii="Garamond" w:hAnsi="Garamond" w:eastAsia="Garamond" w:cs="Garamond"/>
      <w:b/>
      <w:bCs/>
      <w:sz w:val="22"/>
      <w:szCs w:val="22"/>
    </w:rPr>
  </w:style>
  <w:style w:styleId="TOC2" w:type="paragraph">
    <w:name w:val="TOC 2"/>
    <w:basedOn w:val="Normal"/>
    <w:uiPriority w:val="1"/>
    <w:qFormat/>
    <w:pPr>
      <w:spacing w:before="119"/>
      <w:ind w:left="1067" w:hanging="667"/>
    </w:pPr>
    <w:rPr>
      <w:rFonts w:ascii="Garamond" w:hAnsi="Garamond" w:eastAsia="Garamond" w:cs="Garamond"/>
      <w:sz w:val="22"/>
      <w:szCs w:val="22"/>
    </w:rPr>
  </w:style>
  <w:style w:styleId="TOC3" w:type="paragraph">
    <w:name w:val="TOC 3"/>
    <w:basedOn w:val="Normal"/>
    <w:uiPriority w:val="1"/>
    <w:qFormat/>
    <w:pPr>
      <w:ind w:left="1067"/>
    </w:pPr>
    <w:rPr>
      <w:rFonts w:ascii="Garamond" w:hAnsi="Garamond" w:eastAsia="Garamond" w:cs="Garamond"/>
      <w:sz w:val="22"/>
      <w:szCs w:val="22"/>
    </w:rPr>
  </w:style>
  <w:style w:styleId="BodyText" w:type="paragraph">
    <w:name w:val="Body Text"/>
    <w:basedOn w:val="Normal"/>
    <w:uiPriority w:val="1"/>
    <w:qFormat/>
    <w:pPr/>
    <w:rPr>
      <w:rFonts w:ascii="Garamond" w:hAnsi="Garamond" w:eastAsia="Garamond" w:cs="Garamond"/>
      <w:sz w:val="22"/>
      <w:szCs w:val="22"/>
    </w:rPr>
  </w:style>
  <w:style w:styleId="Heading1" w:type="paragraph">
    <w:name w:val="Heading 1"/>
    <w:basedOn w:val="Normal"/>
    <w:uiPriority w:val="1"/>
    <w:qFormat/>
    <w:pPr>
      <w:ind w:left="1067" w:hanging="667"/>
      <w:outlineLvl w:val="1"/>
    </w:pPr>
    <w:rPr>
      <w:rFonts w:ascii="Garamond" w:hAnsi="Garamond" w:eastAsia="Garamond" w:cs="Garamond"/>
      <w:b/>
      <w:bCs/>
      <w:i/>
      <w:sz w:val="24"/>
      <w:szCs w:val="24"/>
    </w:rPr>
  </w:style>
  <w:style w:styleId="Heading2" w:type="paragraph">
    <w:name w:val="Heading 2"/>
    <w:basedOn w:val="Normal"/>
    <w:uiPriority w:val="1"/>
    <w:qFormat/>
    <w:pPr>
      <w:ind w:left="476"/>
      <w:jc w:val="center"/>
      <w:outlineLvl w:val="2"/>
    </w:pPr>
    <w:rPr>
      <w:rFonts w:ascii="Garamond" w:hAnsi="Garamond" w:eastAsia="Garamond" w:cs="Garamond"/>
      <w:b/>
      <w:bCs/>
      <w:sz w:val="22"/>
      <w:szCs w:val="22"/>
    </w:rPr>
  </w:style>
  <w:style w:styleId="ListParagraph" w:type="paragraph">
    <w:name w:val="List Paragraph"/>
    <w:basedOn w:val="Normal"/>
    <w:uiPriority w:val="1"/>
    <w:qFormat/>
    <w:pPr>
      <w:ind w:left="1078" w:hanging="340"/>
      <w:jc w:val="both"/>
    </w:pPr>
    <w:rPr>
      <w:rFonts w:ascii="Garamond" w:hAnsi="Garamond" w:eastAsia="Garamond" w:cs="Garamond"/>
    </w:rPr>
  </w:style>
  <w:style w:styleId="TableParagraph" w:type="paragraph">
    <w:name w:val="Table Paragraph"/>
    <w:basedOn w:val="Normal"/>
    <w:uiPriority w:val="1"/>
    <w:qFormat/>
    <w:pPr>
      <w:spacing w:before="11"/>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hyperlink" Target="mailto:alberto.nanni@pec.gop.it" TargetMode="External"/><Relationship Id="rId7" Type="http://schemas.openxmlformats.org/officeDocument/2006/relationships/hyperlink" Target="mailto:gabriella.covino@pec.gop.it" TargetMode="External"/><Relationship Id="rId8" Type="http://schemas.openxmlformats.org/officeDocument/2006/relationships/hyperlink" Target="mailto:lucajeantet@pec.ordineavvocatitorino.it" TargetMode="External"/><Relationship Id="rId9" Type="http://schemas.openxmlformats.org/officeDocument/2006/relationships/hyperlink" Target="mailto:daniela.amhof@pec.gop.it" TargetMode="External"/><Relationship Id="rId10" Type="http://schemas.openxmlformats.org/officeDocument/2006/relationships/hyperlink" Target="mailto:avvlucagastini@cnfpec.it" TargetMode="External"/><Relationship Id="rId11" Type="http://schemas.openxmlformats.org/officeDocument/2006/relationships/hyperlink" Target="http://www.gpo.gov/fdsys/pkg/FR-2016-12-12/pdf/2016-28879.pdf" TargetMode="External"/><Relationship Id="rId12" Type="http://schemas.openxmlformats.org/officeDocument/2006/relationships/hyperlink" Target="http://task39.sites.olt.ubc.ca/files/2013/05/The-Potential-of-biofuels-in-China-IEA-" TargetMode="External"/><Relationship Id="rId13" Type="http://schemas.openxmlformats.org/officeDocument/2006/relationships/hyperlink" Target="http://www.ilcaso.it/" TargetMode="External"/><Relationship Id="rId14" Type="http://schemas.openxmlformats.org/officeDocument/2006/relationships/image" Target="media/image1.jpeg"/><Relationship Id="rId1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agianfrotta</dc:creator>
  <dc:title>Microsoft Word - GOP-30577044_1 - BIOCHEMTEX - Memoria deposito piano e proposta (3)</dc:title>
  <dcterms:created xsi:type="dcterms:W3CDTF">2018-11-07T17:11:20Z</dcterms:created>
  <dcterms:modified xsi:type="dcterms:W3CDTF">2018-11-07T17:11:20Z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2018-04-23T00:00:00Z</vt:filetime>
  </property>
  <property fmtid="{D5CDD505-2E9C-101B-9397-08002B2CF9AE}" pid="3" name="Creator">
    <vt:lpwstr>PScript5.dll Version 5.2.2</vt:lpwstr>
  </property>
  <property fmtid="{D5CDD505-2E9C-101B-9397-08002B2CF9AE}" pid="4" name="LastSaved">
    <vt:filetime>2018-11-07T00:00:00Z</vt:filetime>
  </property>
</Properties>
</file>